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16"/>
          <w:shd w:fill="auto" w:val="clear"/>
        </w:rPr>
        <w:t xml:space="preserve">Smaller authority name:</w:t>
      </w:r>
      <w:r>
        <w:rPr>
          <w:rFonts w:ascii="Arial" w:hAnsi="Arial" w:cs="Arial" w:eastAsia="Arial"/>
          <w:b/>
          <w:color w:val="auto"/>
          <w:spacing w:val="0"/>
          <w:position w:val="0"/>
          <w:sz w:val="28"/>
          <w:shd w:fill="auto" w:val="clear"/>
        </w:rPr>
        <w:t xml:space="preserve"> Gotherington Parish Council</w:t>
      </w:r>
    </w:p>
    <w:p>
      <w:pPr>
        <w:spacing w:before="0" w:after="0" w:line="240"/>
        <w:ind w:right="0" w:left="0" w:firstLine="0"/>
        <w:jc w:val="center"/>
        <w:rPr>
          <w:rFonts w:ascii="Arial" w:hAnsi="Arial" w:cs="Arial" w:eastAsia="Arial"/>
          <w:b/>
          <w:color w:val="auto"/>
          <w:spacing w:val="0"/>
          <w:position w:val="0"/>
          <w:sz w:val="2"/>
          <w:shd w:fill="auto" w:val="clear"/>
        </w:rPr>
      </w:pPr>
    </w:p>
    <w:p>
      <w:pPr>
        <w:spacing w:before="0" w:after="120" w:line="240"/>
        <w:ind w:right="1627" w:left="1701"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NOTICE OF PUBLIC RIGHTS AND PUBLICATION OF UNAUDITED ANNUAL GOVERNANCE &amp; ACCOUNTABILITY RETURN</w:t>
      </w:r>
    </w:p>
    <w:p>
      <w:pPr>
        <w:spacing w:before="0" w:after="0" w:line="240"/>
        <w:ind w:right="0" w:left="0" w:firstLine="0"/>
        <w:jc w:val="center"/>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ACCOUNTS FOR THE YEAR ENDED 31 MARCH 2020</w:t>
      </w:r>
    </w:p>
    <w:p>
      <w:pPr>
        <w:spacing w:before="0" w:after="0" w:line="240"/>
        <w:ind w:right="0" w:left="0" w:firstLine="0"/>
        <w:jc w:val="both"/>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Local Audit and Accountability Act 2014 Sections 25, 26 and 27 </w:t>
      </w:r>
    </w:p>
    <w:p>
      <w:pPr>
        <w:spacing w:before="0" w:after="0" w:line="240"/>
        <w:ind w:right="0" w:left="0" w:firstLine="0"/>
        <w:jc w:val="center"/>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The Accounts and Audit Regulations 2015 (SI 2015/234)</w:t>
      </w:r>
    </w:p>
    <w:p>
      <w:pPr>
        <w:spacing w:before="0" w:after="0" w:line="240"/>
        <w:ind w:right="0" w:left="0" w:firstLine="0"/>
        <w:jc w:val="center"/>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The Accounts and Audit (Coronavirus) (Amendment) Regulations 2020 (SI 2020/404)</w:t>
      </w:r>
    </w:p>
    <w:tbl>
      <w:tblPr/>
      <w:tblGrid>
        <w:gridCol w:w="6912"/>
        <w:gridCol w:w="3119"/>
      </w:tblGrid>
      <w:tr>
        <w:trPr>
          <w:trHeight w:val="1" w:hRule="atLeast"/>
          <w:jc w:val="left"/>
        </w:trPr>
        <w:tc>
          <w:tcPr>
            <w:tcW w:w="6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NOTICE</w:t>
            </w: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1"/>
                <w:shd w:fill="auto" w:val="clear"/>
              </w:rPr>
              <w:t xml:space="preserve">NOTES</w:t>
            </w:r>
          </w:p>
        </w:tc>
      </w:tr>
      <w:tr>
        <w:trPr>
          <w:trHeight w:val="1" w:hRule="atLeast"/>
          <w:jc w:val="left"/>
        </w:trPr>
        <w:tc>
          <w:tcPr>
            <w:tcW w:w="69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18"/>
                <w:shd w:fill="auto" w:val="clear"/>
              </w:rPr>
            </w:pPr>
          </w:p>
          <w:p>
            <w:pPr>
              <w:spacing w:before="0" w:after="240" w:line="240"/>
              <w:ind w:right="0" w:left="0" w:firstLine="0"/>
              <w:jc w:val="left"/>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 Date of announcement </w:t>
            </w:r>
            <w:r>
              <w:rPr>
                <w:rFonts w:ascii="Arial" w:hAnsi="Arial" w:cs="Arial" w:eastAsia="Arial"/>
                <w:color w:val="auto"/>
                <w:spacing w:val="0"/>
                <w:position w:val="0"/>
                <w:sz w:val="18"/>
                <w:shd w:fill="auto" w:val="clear"/>
              </w:rPr>
              <w:t xml:space="preserve">(a) 28 October 2020</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2020, these documents will be available on reasonable notice by application to:</w:t>
            </w:r>
          </w:p>
          <w:p>
            <w:pPr>
              <w:spacing w:before="0" w:after="0" w:line="240"/>
              <w:ind w:right="0" w:left="0" w:firstLine="0"/>
              <w:jc w:val="both"/>
              <w:rPr>
                <w:rFonts w:ascii="Arial" w:hAnsi="Arial" w:cs="Arial" w:eastAsia="Arial"/>
                <w:b/>
                <w:color w:val="auto"/>
                <w:spacing w:val="0"/>
                <w:position w:val="0"/>
                <w:sz w:val="18"/>
                <w:shd w:fill="auto" w:val="clear"/>
              </w:rPr>
            </w:pPr>
          </w:p>
          <w:p>
            <w:pPr>
              <w:spacing w:before="100" w:after="0" w:line="240"/>
              <w:ind w:right="0" w:left="363" w:firstLine="0"/>
              <w:jc w:val="both"/>
              <w:rPr>
                <w:rFonts w:ascii="Times New Roman" w:hAnsi="Times New Roman" w:cs="Times New Roman" w:eastAsia="Times New Roman"/>
                <w:color w:val="auto"/>
                <w:spacing w:val="0"/>
                <w:position w:val="0"/>
                <w:sz w:val="21"/>
                <w:shd w:fill="auto" w:val="clear"/>
              </w:rPr>
            </w:pPr>
            <w:r>
              <w:rPr>
                <w:rFonts w:ascii="Arial" w:hAnsi="Arial" w:cs="Arial" w:eastAsia="Arial"/>
                <w:color w:val="auto"/>
                <w:spacing w:val="0"/>
                <w:position w:val="0"/>
                <w:sz w:val="18"/>
                <w:shd w:fill="auto" w:val="clear"/>
              </w:rPr>
              <w:t xml:space="preserve">(b) </w:t>
              <w:tab/>
              <w:t xml:space="preserve">Howard Samuels, Chair Gotherington Parish Council</w:t>
            </w:r>
            <w:r>
              <w:rPr>
                <w:rFonts w:ascii="Times New Roman" w:hAnsi="Times New Roman" w:cs="Times New Roman" w:eastAsia="Times New Roman"/>
                <w:color w:val="auto"/>
                <w:spacing w:val="0"/>
                <w:position w:val="0"/>
                <w:sz w:val="21"/>
                <w:shd w:fill="auto" w:val="clear"/>
              </w:rPr>
              <w:t xml:space="preserve">, Shady Nook Cottage, Shutter Lane, Gotherington, GL52 9EZ</w:t>
            </w:r>
          </w:p>
          <w:p>
            <w:pPr>
              <w:spacing w:before="100" w:after="0" w:line="240"/>
              <w:ind w:right="0" w:left="363" w:firstLine="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Email: </w:t>
            </w:r>
            <w:hyperlink xmlns:r="http://schemas.openxmlformats.org/officeDocument/2006/relationships" r:id="docRId0">
              <w:r>
                <w:rPr>
                  <w:rFonts w:ascii="Times New Roman" w:hAnsi="Times New Roman" w:cs="Times New Roman" w:eastAsia="Times New Roman"/>
                  <w:color w:val="0563C1"/>
                  <w:spacing w:val="0"/>
                  <w:position w:val="0"/>
                  <w:sz w:val="21"/>
                  <w:u w:val="single"/>
                  <w:shd w:fill="auto" w:val="clear"/>
                </w:rPr>
                <w:t xml:space="preserve">chair@gotheringtonparishcouncil.org.uk</w:t>
              </w:r>
            </w:hyperlink>
            <w:r>
              <w:rPr>
                <w:rFonts w:ascii="Times New Roman" w:hAnsi="Times New Roman" w:cs="Times New Roman" w:eastAsia="Times New Roman"/>
                <w:color w:val="auto"/>
                <w:spacing w:val="0"/>
                <w:position w:val="0"/>
                <w:sz w:val="21"/>
                <w:shd w:fill="auto" w:val="clear"/>
              </w:rPr>
              <w:t xml:space="preserve">  01242 672492</w:t>
            </w:r>
          </w:p>
          <w:p>
            <w:pPr>
              <w:tabs>
                <w:tab w:val="left" w:pos="284" w:leader="none"/>
                <w:tab w:val="left" w:pos="709" w:leader="none"/>
              </w:tabs>
              <w:spacing w:before="0" w:after="0" w:line="240"/>
              <w:ind w:right="0" w:left="360" w:firstLine="0"/>
              <w:jc w:val="both"/>
              <w:rPr>
                <w:rFonts w:ascii="Arial" w:hAnsi="Arial" w:cs="Arial" w:eastAsia="Arial"/>
                <w:color w:val="auto"/>
                <w:spacing w:val="0"/>
                <w:position w:val="0"/>
                <w:sz w:val="18"/>
                <w:shd w:fill="auto" w:val="clear"/>
              </w:rPr>
            </w:pPr>
          </w:p>
          <w:p>
            <w:pPr>
              <w:tabs>
                <w:tab w:val="left" w:pos="284" w:leader="none"/>
                <w:tab w:val="left" w:pos="709" w:leader="none"/>
              </w:tabs>
              <w:spacing w:before="0" w:after="0" w:line="240"/>
              <w:ind w:right="0" w:left="36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ab/>
            </w:r>
          </w:p>
          <w:p>
            <w:pPr>
              <w:tabs>
                <w:tab w:val="left" w:pos="284" w:leader="none"/>
                <w:tab w:val="left" w:pos="709" w:leader="none"/>
              </w:tabs>
              <w:spacing w:before="0" w:after="0" w:line="240"/>
              <w:ind w:right="0" w:left="36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commencing on (c) __29 October 2020 _______________________ </w:t>
            </w:r>
          </w:p>
          <w:p>
            <w:pPr>
              <w:tabs>
                <w:tab w:val="left" w:pos="284" w:leader="none"/>
                <w:tab w:val="left" w:pos="709" w:leader="none"/>
              </w:tabs>
              <w:spacing w:before="0" w:after="0" w:line="240"/>
              <w:ind w:right="0" w:left="360" w:firstLine="0"/>
              <w:jc w:val="both"/>
              <w:rPr>
                <w:rFonts w:ascii="Arial" w:hAnsi="Arial" w:cs="Arial" w:eastAsia="Arial"/>
                <w:color w:val="auto"/>
                <w:spacing w:val="0"/>
                <w:position w:val="0"/>
                <w:sz w:val="18"/>
                <w:shd w:fill="auto" w:val="clear"/>
              </w:rPr>
            </w:pPr>
          </w:p>
          <w:p>
            <w:pPr>
              <w:tabs>
                <w:tab w:val="left" w:pos="284" w:leader="none"/>
                <w:tab w:val="left" w:pos="709" w:leader="none"/>
              </w:tabs>
              <w:spacing w:before="0" w:after="0" w:line="240"/>
              <w:ind w:right="0" w:left="36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and ending on (d) ___9 December 2020________________________ </w:t>
            </w:r>
          </w:p>
          <w:p>
            <w:pPr>
              <w:tabs>
                <w:tab w:val="left" w:pos="284" w:leader="none"/>
                <w:tab w:val="left" w:pos="709" w:leader="none"/>
              </w:tabs>
              <w:spacing w:before="0" w:after="0" w:line="240"/>
              <w:ind w:right="0" w:left="36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3. Local government electors and their representatives also have:</w:t>
            </w:r>
          </w:p>
          <w:p>
            <w:pPr>
              <w:spacing w:before="0" w:after="0" w:line="240"/>
              <w:ind w:right="0" w:left="0" w:firstLine="0"/>
              <w:jc w:val="both"/>
              <w:rPr>
                <w:rFonts w:ascii="Arial" w:hAnsi="Arial" w:cs="Arial" w:eastAsia="Arial"/>
                <w:b/>
                <w:color w:val="auto"/>
                <w:spacing w:val="0"/>
                <w:position w:val="0"/>
                <w:sz w:val="18"/>
                <w:shd w:fill="auto" w:val="clear"/>
              </w:rPr>
            </w:pPr>
          </w:p>
          <w:p>
            <w:pPr>
              <w:numPr>
                <w:ilvl w:val="0"/>
                <w:numId w:val="16"/>
              </w:numPr>
              <w:spacing w:before="0" w:after="240" w:line="240"/>
              <w:ind w:right="0" w:left="714" w:hanging="357"/>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opportunity to question the appointed auditor about the accounting records; and</w:t>
            </w:r>
          </w:p>
          <w:p>
            <w:pPr>
              <w:numPr>
                <w:ilvl w:val="0"/>
                <w:numId w:val="16"/>
              </w:numPr>
              <w:spacing w:before="0" w:after="0" w:line="240"/>
              <w:ind w:right="0" w:left="720" w:hanging="36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spacing w:before="0" w:after="0" w:line="240"/>
              <w:ind w:right="0" w:left="720" w:firstLine="0"/>
              <w:jc w:val="both"/>
              <w:rPr>
                <w:rFonts w:ascii="Arial" w:hAnsi="Arial" w:cs="Arial" w:eastAsia="Arial"/>
                <w:color w:val="auto"/>
                <w:spacing w:val="0"/>
                <w:position w:val="0"/>
                <w:sz w:val="18"/>
                <w:shd w:fill="auto" w:val="clear"/>
              </w:rPr>
            </w:pPr>
          </w:p>
          <w:p>
            <w:pPr>
              <w:spacing w:before="0" w:after="0" w:line="240"/>
              <w:ind w:right="0" w:left="360" w:firstLine="0"/>
              <w:jc w:val="both"/>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The appointed auditor can be contacted at the address in paragraph 4 below for this purpose between the above dates only.</w:t>
            </w:r>
          </w:p>
          <w:p>
            <w:pPr>
              <w:spacing w:before="0" w:after="0" w:line="240"/>
              <w:ind w:right="0" w:left="360" w:firstLine="0"/>
              <w:jc w:val="both"/>
              <w:rPr>
                <w:rFonts w:ascii="Arial" w:hAnsi="Arial" w:cs="Arial" w:eastAsia="Arial"/>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4. The smaller authority’s AGAR is subject to review by the appointed auditor under the provisions of the Local Audit and Accountability Act 2014, the Accounts and Audit Regulations 2015 and the NAO’s Code of Audit Practice 2015.  The appointed auditor is:</w:t>
            </w:r>
          </w:p>
          <w:p>
            <w:pPr>
              <w:spacing w:before="0" w:after="0" w:line="240"/>
              <w:ind w:right="0" w:left="360" w:firstLine="0"/>
              <w:jc w:val="both"/>
              <w:rPr>
                <w:rFonts w:ascii="Arial" w:hAnsi="Arial" w:cs="Arial" w:eastAsia="Arial"/>
                <w:color w:val="auto"/>
                <w:spacing w:val="0"/>
                <w:position w:val="0"/>
                <w:sz w:val="18"/>
                <w:shd w:fill="auto" w:val="clear"/>
              </w:rPr>
            </w:pPr>
          </w:p>
          <w:p>
            <w:pPr>
              <w:tabs>
                <w:tab w:val="left" w:pos="1393" w:leader="none"/>
              </w:tabs>
              <w:spacing w:before="0" w:after="0" w:line="240"/>
              <w:ind w:right="0" w:left="36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PKF Littlejohn LLP (Ref: SBA Team)</w:t>
            </w:r>
          </w:p>
          <w:p>
            <w:pPr>
              <w:tabs>
                <w:tab w:val="left" w:pos="1393" w:leader="none"/>
              </w:tabs>
              <w:spacing w:before="0" w:after="0" w:line="240"/>
              <w:ind w:right="0" w:left="36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15 Westferry Circus</w:t>
            </w:r>
          </w:p>
          <w:p>
            <w:pPr>
              <w:tabs>
                <w:tab w:val="left" w:pos="1393" w:leader="none"/>
              </w:tabs>
              <w:spacing w:before="0" w:after="0" w:line="240"/>
              <w:ind w:right="0" w:left="360" w:firstLine="0"/>
              <w:jc w:val="both"/>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18"/>
                <w:shd w:fill="auto" w:val="clear"/>
              </w:rPr>
              <w:t xml:space="preserve">Canary Wharf</w:t>
            </w:r>
          </w:p>
          <w:p>
            <w:pPr>
              <w:tabs>
                <w:tab w:val="left" w:pos="1393" w:leader="none"/>
              </w:tabs>
              <w:spacing w:before="0" w:after="0" w:line="240"/>
              <w:ind w:right="0" w:left="360" w:firstLine="0"/>
              <w:jc w:val="both"/>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18"/>
                <w:shd w:fill="auto" w:val="clear"/>
              </w:rPr>
              <w:t xml:space="preserve">London E14 4HD</w:t>
            </w:r>
          </w:p>
          <w:p>
            <w:pPr>
              <w:tabs>
                <w:tab w:val="left" w:pos="1393" w:leader="none"/>
              </w:tabs>
              <w:spacing w:before="0" w:after="0" w:line="240"/>
              <w:ind w:right="0" w:left="360" w:firstLine="0"/>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w:t>
            </w:r>
            <w:hyperlink xmlns:r="http://schemas.openxmlformats.org/officeDocument/2006/relationships" r:id="docRId1">
              <w:r>
                <w:rPr>
                  <w:rFonts w:ascii="Arial" w:hAnsi="Arial" w:cs="Arial" w:eastAsia="Arial"/>
                  <w:color w:val="000000"/>
                  <w:spacing w:val="0"/>
                  <w:position w:val="0"/>
                  <w:sz w:val="18"/>
                  <w:u w:val="single"/>
                  <w:shd w:fill="auto" w:val="clear"/>
                </w:rPr>
                <w:t xml:space="preserve">sba@pkf-littlejohn.com</w:t>
              </w:r>
            </w:hyperlink>
            <w:r>
              <w:rPr>
                <w:rFonts w:ascii="Arial" w:hAnsi="Arial" w:cs="Arial" w:eastAsia="Arial"/>
                <w:color w:val="000000"/>
                <w:spacing w:val="0"/>
                <w:position w:val="0"/>
                <w:sz w:val="18"/>
                <w:shd w:fill="auto" w:val="clear"/>
              </w:rPr>
              <w:t xml:space="preserve">)</w:t>
            </w:r>
          </w:p>
          <w:p>
            <w:pPr>
              <w:tabs>
                <w:tab w:val="left" w:pos="1393" w:leader="none"/>
              </w:tabs>
              <w:spacing w:before="0" w:after="0" w:line="240"/>
              <w:ind w:right="0" w:left="360" w:firstLine="0"/>
              <w:jc w:val="both"/>
              <w:rPr>
                <w:rFonts w:ascii="Arial" w:hAnsi="Arial" w:cs="Arial" w:eastAsia="Arial"/>
                <w:color w:val="000000"/>
                <w:spacing w:val="0"/>
                <w:position w:val="0"/>
                <w:sz w:val="18"/>
                <w:shd w:fill="auto" w:val="clear"/>
              </w:rPr>
            </w:pPr>
          </w:p>
          <w:p>
            <w:pPr>
              <w:spacing w:before="0" w:after="0" w:line="240"/>
              <w:ind w:right="0" w:left="0" w:firstLine="0"/>
              <w:jc w:val="left"/>
              <w:rPr>
                <w:rFonts w:ascii="Arial" w:hAnsi="Arial" w:cs="Arial" w:eastAsia="Arial"/>
                <w:color w:val="auto"/>
                <w:spacing w:val="0"/>
                <w:position w:val="0"/>
                <w:sz w:val="18"/>
                <w:shd w:fill="auto" w:val="clear"/>
              </w:rPr>
            </w:pPr>
            <w:r>
              <w:rPr>
                <w:rFonts w:ascii="Arial" w:hAnsi="Arial" w:cs="Arial" w:eastAsia="Arial"/>
                <w:b/>
                <w:color w:val="auto"/>
                <w:spacing w:val="0"/>
                <w:position w:val="0"/>
                <w:sz w:val="18"/>
                <w:shd w:fill="auto" w:val="clear"/>
              </w:rPr>
              <w:t xml:space="preserve">5. This announcement is made by Howard Samuels, Parish Chairman</w:t>
            </w:r>
          </w:p>
          <w:p>
            <w:pPr>
              <w:spacing w:before="0" w:after="0" w:line="240"/>
              <w:ind w:right="0" w:left="0" w:firstLine="0"/>
              <w:jc w:val="both"/>
              <w:rPr>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18"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(a) Insert date of placing of the notice which must be not less than 1 day before the date in (c) below</w:t>
            </w: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357"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(b) Insert name, position and address/telephone number/ email address, as appropriate, of the Clerk or other person to which any person may apply to inspect the accounts</w:t>
            </w:r>
          </w:p>
          <w:p>
            <w:pPr>
              <w:spacing w:before="0" w:after="0" w:line="240"/>
              <w:ind w:right="0" w:left="357"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 Insert date, which must be at least 1 day after the date of announcement in (a) above and at least 30 working days before the date appointed in (d) below</w:t>
            </w:r>
          </w:p>
          <w:p>
            <w:pPr>
              <w:spacing w:before="0" w:after="0" w:line="240"/>
              <w:ind w:right="0" w:left="357" w:firstLine="0"/>
              <w:jc w:val="both"/>
              <w:rPr>
                <w:rFonts w:ascii="Arial" w:hAnsi="Arial" w:cs="Arial" w:eastAsia="Arial"/>
                <w:color w:val="auto"/>
                <w:spacing w:val="0"/>
                <w:position w:val="0"/>
                <w:sz w:val="14"/>
                <w:shd w:fill="auto" w:val="clear"/>
              </w:rPr>
            </w:pPr>
          </w:p>
          <w:p>
            <w:pPr>
              <w:spacing w:before="0" w:after="0" w:line="240"/>
              <w:ind w:right="0" w:left="18"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 The inspection period between (c) and (d) must be 30 working days inclusive and must start on or before 1 September 2020.</w:t>
            </w: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18" w:firstLine="0"/>
              <w:jc w:val="both"/>
              <w:rPr>
                <w:rFonts w:ascii="Arial" w:hAnsi="Arial" w:cs="Arial" w:eastAsia="Arial"/>
                <w:color w:val="auto"/>
                <w:spacing w:val="0"/>
                <w:position w:val="0"/>
                <w:sz w:val="16"/>
                <w:shd w:fill="auto" w:val="clear"/>
              </w:rPr>
            </w:pPr>
          </w:p>
          <w:p>
            <w:pPr>
              <w:spacing w:before="0" w:after="0" w:line="240"/>
              <w:ind w:right="0" w:left="36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18" w:firstLine="0"/>
              <w:jc w:val="both"/>
              <w:rPr>
                <w:rFonts w:ascii="Arial" w:hAnsi="Arial" w:cs="Arial" w:eastAsia="Arial"/>
                <w:color w:val="auto"/>
                <w:spacing w:val="0"/>
                <w:position w:val="0"/>
                <w:sz w:val="16"/>
                <w:shd w:fill="auto" w:val="clear"/>
              </w:rPr>
            </w:pPr>
          </w:p>
          <w:p>
            <w:pPr>
              <w:spacing w:before="0" w:after="0" w:line="240"/>
              <w:ind w:right="0" w:left="18" w:firstLine="0"/>
              <w:jc w:val="both"/>
              <w:rPr>
                <w:rFonts w:ascii="Arial" w:hAnsi="Arial" w:cs="Arial" w:eastAsia="Arial"/>
                <w:color w:val="auto"/>
                <w:spacing w:val="0"/>
                <w:position w:val="0"/>
                <w:sz w:val="16"/>
                <w:shd w:fill="auto" w:val="clear"/>
              </w:rPr>
            </w:pPr>
          </w:p>
          <w:p>
            <w:pPr>
              <w:spacing w:before="0" w:after="0" w:line="240"/>
              <w:ind w:right="0" w:left="18" w:firstLine="0"/>
              <w:jc w:val="both"/>
              <w:rPr>
                <w:color w:val="auto"/>
                <w:spacing w:val="0"/>
                <w:position w:val="0"/>
                <w:shd w:fill="auto" w:val="clear"/>
              </w:rPr>
            </w:pPr>
            <w:r>
              <w:rPr>
                <w:rFonts w:ascii="Arial" w:hAnsi="Arial" w:cs="Arial" w:eastAsia="Arial"/>
                <w:color w:val="auto"/>
                <w:spacing w:val="0"/>
                <w:position w:val="0"/>
                <w:sz w:val="16"/>
                <w:shd w:fill="auto" w:val="clear"/>
              </w:rPr>
              <w:t xml:space="preserve">(e) Insert name and position of person placing the notice </w:t>
            </w:r>
            <w:r>
              <w:rPr>
                <w:rFonts w:ascii="Arial" w:hAnsi="Arial" w:cs="Arial" w:eastAsia="Arial"/>
                <w:color w:val="auto"/>
                <w:spacing w:val="0"/>
                <w:position w:val="0"/>
                <w:sz w:val="16"/>
                <w:shd w:fill="auto" w:val="clear"/>
              </w:rPr>
              <w:t xml:space="preserve">–</w:t>
            </w:r>
            <w:r>
              <w:rPr>
                <w:rFonts w:ascii="Arial" w:hAnsi="Arial" w:cs="Arial" w:eastAsia="Arial"/>
                <w:color w:val="auto"/>
                <w:spacing w:val="0"/>
                <w:position w:val="0"/>
                <w:sz w:val="16"/>
                <w:shd w:fill="auto" w:val="clear"/>
              </w:rPr>
              <w:t xml:space="preserve"> this person must be the responsible financial officer for the smaller authority</w:t>
            </w:r>
          </w:p>
        </w:tc>
      </w:tr>
    </w:tbl>
    <w:p>
      <w:pPr>
        <w:spacing w:before="0" w:after="200" w:line="276"/>
        <w:ind w:right="0" w:left="0" w:firstLine="0"/>
        <w:jc w:val="left"/>
        <w:rPr>
          <w:rFonts w:ascii="Arial" w:hAnsi="Arial" w:cs="Arial" w:eastAsia="Arial"/>
          <w:color w:val="auto"/>
          <w:spacing w:val="0"/>
          <w:position w:val="0"/>
          <w:sz w:val="21"/>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LOCAL AUTHORITY ACCOUNTS: A SUMMARY OF YOUR RIGHTS</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Please note that this summary applies to all relevant smaller authorities, including local councils, internal drainage boards and ‘other’ smaller authorities.</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The basic position</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w:t>
      </w:r>
      <w:hyperlink xmlns:r="http://schemas.openxmlformats.org/officeDocument/2006/relationships" r:id="docRId2">
        <w:r>
          <w:rPr>
            <w:rFonts w:ascii="Arial" w:hAnsi="Arial" w:cs="Arial" w:eastAsia="Arial"/>
            <w:color w:val="0563C1"/>
            <w:spacing w:val="0"/>
            <w:position w:val="0"/>
            <w:sz w:val="20"/>
            <w:u w:val="single"/>
            <w:shd w:fill="auto" w:val="clear"/>
          </w:rPr>
          <w:t xml:space="preserve">Local Audit and Accountability Act 2014</w:t>
        </w:r>
      </w:hyperlink>
      <w:r>
        <w:rPr>
          <w:rFonts w:ascii="Arial" w:hAnsi="Arial" w:cs="Arial" w:eastAsia="Arial"/>
          <w:color w:val="auto"/>
          <w:spacing w:val="0"/>
          <w:position w:val="0"/>
          <w:sz w:val="20"/>
          <w:shd w:fill="auto" w:val="clear"/>
        </w:rPr>
        <w:t xml:space="preserve"> (the Act) governs the work of auditors appointed to smaller authorities. This summary explains the provisions contained in Sections 26 and 27 of the Act. The Act, the </w:t>
      </w:r>
      <w:hyperlink xmlns:r="http://schemas.openxmlformats.org/officeDocument/2006/relationships" r:id="docRId3">
        <w:r>
          <w:rPr>
            <w:rFonts w:ascii="Arial" w:hAnsi="Arial" w:cs="Arial" w:eastAsia="Arial"/>
            <w:color w:val="0563C1"/>
            <w:spacing w:val="0"/>
            <w:position w:val="0"/>
            <w:sz w:val="20"/>
            <w:u w:val="single"/>
            <w:shd w:fill="auto" w:val="clear"/>
          </w:rPr>
          <w:t xml:space="preserve">Accounts and Audit Regulations 2015</w:t>
        </w:r>
      </w:hyperlink>
      <w:r>
        <w:rPr>
          <w:rFonts w:ascii="Arial" w:hAnsi="Arial" w:cs="Arial" w:eastAsia="Arial"/>
          <w:color w:val="auto"/>
          <w:spacing w:val="0"/>
          <w:position w:val="0"/>
          <w:sz w:val="20"/>
          <w:shd w:fill="auto" w:val="clear"/>
        </w:rPr>
        <w:t xml:space="preserve"> and the </w:t>
      </w:r>
      <w:hyperlink xmlns:r="http://schemas.openxmlformats.org/officeDocument/2006/relationships" r:id="docRId4">
        <w:r>
          <w:rPr>
            <w:rFonts w:ascii="Arial" w:hAnsi="Arial" w:cs="Arial" w:eastAsia="Arial"/>
            <w:color w:val="0563C1"/>
            <w:spacing w:val="0"/>
            <w:position w:val="0"/>
            <w:sz w:val="20"/>
            <w:u w:val="single"/>
            <w:shd w:fill="auto" w:val="clear"/>
          </w:rPr>
          <w:t xml:space="preserve">Accounts and Audit (Coronavirus) (Amendment) Regulations 2020</w:t>
        </w:r>
      </w:hyperlink>
      <w:r>
        <w:rPr>
          <w:rFonts w:ascii="Arial" w:hAnsi="Arial" w:cs="Arial" w:eastAsia="Arial"/>
          <w:color w:val="auto"/>
          <w:spacing w:val="0"/>
          <w:position w:val="0"/>
          <w:sz w:val="20"/>
          <w:shd w:fill="auto" w:val="clear"/>
        </w:rPr>
        <w:t xml:space="preserve"> also cover the duties, responsibilities and rights of smaller authorities, other organisations and the public concerning the accounts being audited. </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The right to inspect the accounting records</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ascii="Arial" w:hAnsi="Arial" w:cs="Arial" w:eastAsia="Arial"/>
          <w:b/>
          <w:color w:val="auto"/>
          <w:spacing w:val="0"/>
          <w:position w:val="0"/>
          <w:sz w:val="20"/>
          <w:shd w:fill="auto" w:val="clear"/>
        </w:rPr>
        <w:t xml:space="preserve">Legislative changes have been made as a result of the restrictions imposed by the Coronavirus for the 2019/20 reporting year which mean that there is no requirement for a common period for public rights.  The period for the exercise of public rights must however commence on or before 1 September 2020.</w:t>
      </w:r>
      <w:r>
        <w:rPr>
          <w:rFonts w:ascii="Arial" w:hAnsi="Arial" w:cs="Arial" w:eastAsia="Arial"/>
          <w:color w:val="auto"/>
          <w:spacing w:val="0"/>
          <w:position w:val="0"/>
          <w:sz w:val="20"/>
          <w:shd w:fill="auto" w:val="clear"/>
        </w:rPr>
        <w:t xml:space="preserve">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The right to ask the auditor questions about the accounting records</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You should first ask your smaller authority</w:t>
      </w:r>
      <w:r>
        <w:rPr>
          <w:rFonts w:ascii="Arial" w:hAnsi="Arial" w:cs="Arial" w:eastAsia="Arial"/>
          <w:color w:val="auto"/>
          <w:spacing w:val="0"/>
          <w:position w:val="0"/>
          <w:sz w:val="20"/>
          <w:shd w:fill="auto" w:val="clear"/>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The right to make objections at audit</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pPr>
        <w:spacing w:before="0" w:after="0" w:line="240"/>
        <w:ind w:right="0" w:left="0" w:firstLine="0"/>
        <w:jc w:val="both"/>
        <w:rPr>
          <w:rFonts w:ascii="Arial" w:hAnsi="Arial" w:cs="Arial" w:eastAsia="Arial"/>
          <w:color w:val="auto"/>
          <w:spacing w:val="0"/>
          <w:position w:val="0"/>
          <w:sz w:val="20"/>
          <w:shd w:fill="auto" w:val="clear"/>
        </w:rPr>
      </w:pPr>
    </w:p>
    <w:p>
      <w:pPr>
        <w:numPr>
          <w:ilvl w:val="0"/>
          <w:numId w:val="4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confirmation that you are an elector in the smaller authority’s area;</w:t>
      </w:r>
    </w:p>
    <w:p>
      <w:pPr>
        <w:numPr>
          <w:ilvl w:val="0"/>
          <w:numId w:val="4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why you are objecting to the accounts and the facts on which you rely;</w:t>
      </w:r>
    </w:p>
    <w:p>
      <w:pPr>
        <w:numPr>
          <w:ilvl w:val="0"/>
          <w:numId w:val="4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details of any item in the accounts that you think is unlawful; and</w:t>
      </w:r>
    </w:p>
    <w:p>
      <w:pPr>
        <w:numPr>
          <w:ilvl w:val="0"/>
          <w:numId w:val="4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details of any matter about which you think the external auditor should make a public interest report.</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than it must be in writing, there is no set format for objecting. You can only ask the external auditor to act within the powers available under the </w:t>
      </w:r>
      <w:hyperlink xmlns:r="http://schemas.openxmlformats.org/officeDocument/2006/relationships" r:id="docRId5">
        <w:r>
          <w:rPr>
            <w:rFonts w:ascii="Arial" w:hAnsi="Arial" w:cs="Arial" w:eastAsia="Arial"/>
            <w:color w:val="0563C1"/>
            <w:spacing w:val="0"/>
            <w:position w:val="0"/>
            <w:sz w:val="20"/>
            <w:u w:val="single"/>
            <w:shd w:fill="auto" w:val="clear"/>
          </w:rPr>
          <w:t xml:space="preserve">Local Audit and Accountability Act 2014</w:t>
        </w:r>
      </w:hyperlink>
      <w:r>
        <w:rPr>
          <w:rFonts w:ascii="Arial" w:hAnsi="Arial" w:cs="Arial" w:eastAsia="Arial"/>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A final word</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pPr>
        <w:spacing w:before="0" w:after="0" w:line="240"/>
        <w:ind w:right="0" w:left="0" w:firstLine="0"/>
        <w:jc w:val="both"/>
        <w:rPr>
          <w:rFonts w:ascii="Arial" w:hAnsi="Arial" w:cs="Arial" w:eastAsia="Arial"/>
          <w:color w:val="auto"/>
          <w:spacing w:val="0"/>
          <w:position w:val="0"/>
          <w:sz w:val="20"/>
          <w:shd w:fill="auto" w:val="clear"/>
        </w:rPr>
      </w:pPr>
    </w:p>
    <w:tbl>
      <w:tblPr/>
      <w:tblGrid>
        <w:gridCol w:w="4390"/>
        <w:gridCol w:w="4677"/>
      </w:tblGrid>
      <w:tr>
        <w:trPr>
          <w:trHeight w:val="1" w:hRule="atLeast"/>
          <w:jc w:val="left"/>
        </w:trPr>
        <w:tc>
          <w:tcPr>
            <w:tcW w:w="4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spacing w:val="0"/>
                <w:position w:val="0"/>
                <w:shd w:fill="auto" w:val="clear"/>
              </w:rPr>
            </w:pPr>
            <w:r>
              <w:rPr>
                <w:rFonts w:ascii="Arial" w:hAnsi="Arial" w:cs="Arial" w:eastAsia="Arial"/>
                <w:color w:val="auto"/>
                <w:spacing w:val="0"/>
                <w:position w:val="0"/>
                <w:sz w:val="20"/>
                <w:shd w:fill="auto" w:val="clear"/>
              </w:rPr>
              <w:t xml:space="preserve">For more detailed guidance on public rights and the special powers of auditors, copies of the publication </w:t>
            </w:r>
            <w:hyperlink xmlns:r="http://schemas.openxmlformats.org/officeDocument/2006/relationships" r:id="docRId6">
              <w:r>
                <w:rPr>
                  <w:rFonts w:ascii="Arial" w:hAnsi="Arial" w:cs="Arial" w:eastAsia="Arial"/>
                  <w:color w:val="0563C1"/>
                  <w:spacing w:val="0"/>
                  <w:position w:val="0"/>
                  <w:sz w:val="20"/>
                  <w:u w:val="single"/>
                  <w:shd w:fill="auto" w:val="clear"/>
                </w:rPr>
                <w:t xml:space="preserve">Local authority </w:t>
              </w:r>
              <w:r>
                <w:rPr>
                  <w:rFonts w:ascii="Arial" w:hAnsi="Arial" w:cs="Arial" w:eastAsia="Arial"/>
                  <w:color w:val="0563C1"/>
                  <w:spacing w:val="0"/>
                  <w:position w:val="0"/>
                  <w:sz w:val="20"/>
                  <w:u w:val="single"/>
                  <w:shd w:fill="auto" w:val="clear"/>
                </w:rPr>
                <w:t xml:space="preserve"> HYPERLINK "https://www.pkf-littlejohn.com/sites/default/files/media/documents/local-authority-accounts-a-guide-to-your-rights_0.pdf"</w:t>
              </w:r>
              <w:r>
                <w:rPr>
                  <w:rFonts w:ascii="Arial" w:hAnsi="Arial" w:cs="Arial" w:eastAsia="Arial"/>
                  <w:color w:val="0563C1"/>
                  <w:spacing w:val="0"/>
                  <w:position w:val="0"/>
                  <w:sz w:val="20"/>
                  <w:u w:val="single"/>
                  <w:shd w:fill="auto" w:val="clear"/>
                </w:rPr>
                <w:t xml:space="preserve">accounts: A guide to your rights</w:t>
              </w:r>
            </w:hyperlink>
            <w:r>
              <w:rPr>
                <w:rFonts w:ascii="Arial" w:hAnsi="Arial" w:cs="Arial" w:eastAsia="Arial"/>
                <w:color w:val="auto"/>
                <w:spacing w:val="0"/>
                <w:position w:val="0"/>
                <w:sz w:val="20"/>
                <w:shd w:fill="auto" w:val="clear"/>
              </w:rPr>
              <w:t xml:space="preserve"> are available from the NAO website.</w:t>
            </w:r>
          </w:p>
        </w:tc>
        <w:tc>
          <w:tcPr>
            <w:tcW w:w="467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you wish to contact your authority’s appointed external auditor please write to the address in paragraph 4 of the </w:t>
            </w:r>
            <w:r>
              <w:rPr>
                <w:rFonts w:ascii="Arial" w:hAnsi="Arial" w:cs="Arial" w:eastAsia="Arial"/>
                <w:i/>
                <w:color w:val="auto"/>
                <w:spacing w:val="0"/>
                <w:position w:val="0"/>
                <w:sz w:val="20"/>
                <w:shd w:fill="auto" w:val="clear"/>
              </w:rPr>
              <w:t xml:space="preserve">Notice of Public Rights and Publication of Unaudited Annual Governance &amp; Accountability Return</w:t>
            </w:r>
            <w:r>
              <w:rPr>
                <w:rFonts w:ascii="Arial" w:hAnsi="Arial" w:cs="Arial" w:eastAsia="Arial"/>
                <w:color w:val="auto"/>
                <w:spacing w:val="0"/>
                <w:position w:val="0"/>
                <w:sz w:val="20"/>
                <w:shd w:fill="auto" w:val="clear"/>
              </w:rPr>
              <w:t xml:space="preserve">.</w:t>
            </w:r>
          </w:p>
          <w:p>
            <w:pPr>
              <w:spacing w:before="0" w:after="0" w:line="240"/>
              <w:ind w:right="0" w:left="0" w:firstLine="0"/>
              <w:jc w:val="both"/>
              <w:rPr>
                <w:color w:val="auto"/>
                <w:spacing w:val="0"/>
                <w:position w:val="0"/>
                <w:shd w:fill="auto" w:val="clear"/>
              </w:rPr>
            </w:pPr>
          </w:p>
        </w:tc>
      </w:tr>
    </w:tbl>
    <w:p>
      <w:pPr>
        <w:spacing w:before="0" w:after="200" w:line="240"/>
        <w:ind w:right="0" w:left="0" w:firstLine="0"/>
        <w:jc w:val="left"/>
        <w:rPr>
          <w:rFonts w:ascii="Arial" w:hAnsi="Arial" w:cs="Arial" w:eastAsia="Arial"/>
          <w:color w:val="auto"/>
          <w:spacing w:val="0"/>
          <w:position w:val="0"/>
          <w:sz w:val="21"/>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6">
    <w:abstractNumId w:val="6"/>
  </w:num>
  <w:num w:numId="4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egislation.gov.uk/uksi/2015/234/contents/made" Id="docRId3" Type="http://schemas.openxmlformats.org/officeDocument/2006/relationships/hyperlink" /><Relationship Target="numbering.xml" Id="docRId7" Type="http://schemas.openxmlformats.org/officeDocument/2006/relationships/numbering" /><Relationship TargetMode="External" Target="mailto:chair@gotheringtonparishcouncil.org.uk" Id="docRId0" Type="http://schemas.openxmlformats.org/officeDocument/2006/relationships/hyperlink" /><Relationship TargetMode="External" Target="http://www.legislation.gov.uk/ukpga/2014/2/contents" Id="docRId2" Type="http://schemas.openxmlformats.org/officeDocument/2006/relationships/hyperlink" /><Relationship TargetMode="External" Target="http://www.legislation.gov.uk/uksi/2020/404/contents/made" Id="docRId4" Type="http://schemas.openxmlformats.org/officeDocument/2006/relationships/hyperlink" /><Relationship TargetMode="External" Target="https://www.pkf-littlejohn.com/sites/default/files/media/documents/local-authority-accounts-a-guide-to-your-rights_0.pdf" Id="docRId6" Type="http://schemas.openxmlformats.org/officeDocument/2006/relationships/hyperlink" /><Relationship Target="styles.xml" Id="docRId8" Type="http://schemas.openxmlformats.org/officeDocument/2006/relationships/styles" /><Relationship TargetMode="External" Target="mailto:sba@pkf-littlejohn.com" Id="docRId1" Type="http://schemas.openxmlformats.org/officeDocument/2006/relationships/hyperlink" /><Relationship TargetMode="External" Target="http://www.legislation.gov.uk/ukpga/2014/2/contents" Id="docRId5" Type="http://schemas.openxmlformats.org/officeDocument/2006/relationships/hyperlink" /></Relationships>
</file>