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1"/>
        <w:gridCol w:w="2090"/>
        <w:gridCol w:w="3053"/>
        <w:gridCol w:w="2899"/>
        <w:gridCol w:w="1343"/>
      </w:tblGrid>
      <w:tr w:rsidR="000B697A" w14:paraId="2E30427F" w14:textId="77777777" w:rsidTr="002930D8">
        <w:trPr>
          <w:trHeight w:val="162"/>
        </w:trPr>
        <w:tc>
          <w:tcPr>
            <w:tcW w:w="8133" w:type="dxa"/>
            <w:gridSpan w:val="4"/>
            <w:tcMar>
              <w:top w:w="0" w:type="dxa"/>
              <w:left w:w="108" w:type="dxa"/>
              <w:bottom w:w="0" w:type="dxa"/>
              <w:right w:w="108" w:type="dxa"/>
            </w:tcMar>
            <w:hideMark/>
          </w:tcPr>
          <w:p w14:paraId="63027C30" w14:textId="77777777" w:rsidR="000B697A" w:rsidRDefault="000B697A">
            <w:pPr>
              <w:jc w:val="right"/>
              <w:rPr>
                <w:rFonts w:ascii="Calibri" w:hAnsi="Calibri"/>
                <w:b/>
                <w:bCs/>
                <w:sz w:val="28"/>
                <w:szCs w:val="28"/>
              </w:rPr>
            </w:pPr>
            <w:bookmarkStart w:id="0" w:name="_GoBack"/>
            <w:bookmarkEnd w:id="0"/>
            <w:r>
              <w:rPr>
                <w:b/>
                <w:bCs/>
                <w:sz w:val="28"/>
                <w:szCs w:val="28"/>
              </w:rPr>
              <w:t>Deputy Chief Executive’s Unit</w:t>
            </w:r>
          </w:p>
          <w:p w14:paraId="7163212A" w14:textId="77777777" w:rsidR="000B697A" w:rsidRDefault="000B697A">
            <w:pPr>
              <w:jc w:val="right"/>
              <w:rPr>
                <w:b/>
                <w:bCs/>
                <w:sz w:val="20"/>
                <w:szCs w:val="20"/>
              </w:rPr>
            </w:pPr>
            <w:r>
              <w:rPr>
                <w:b/>
                <w:bCs/>
                <w:sz w:val="20"/>
                <w:szCs w:val="20"/>
              </w:rPr>
              <w:t>Robert Weaver</w:t>
            </w:r>
          </w:p>
          <w:p w14:paraId="02FC3F66" w14:textId="77777777" w:rsidR="000B697A" w:rsidRDefault="000B697A">
            <w:pPr>
              <w:jc w:val="right"/>
              <w:rPr>
                <w:color w:val="808080"/>
                <w:sz w:val="18"/>
                <w:szCs w:val="18"/>
              </w:rPr>
            </w:pPr>
            <w:r>
              <w:rPr>
                <w:color w:val="808080"/>
                <w:sz w:val="18"/>
                <w:szCs w:val="18"/>
              </w:rPr>
              <w:t>Deputy Chief Executive</w:t>
            </w:r>
          </w:p>
        </w:tc>
        <w:tc>
          <w:tcPr>
            <w:tcW w:w="1343" w:type="dxa"/>
            <w:tcMar>
              <w:top w:w="0" w:type="dxa"/>
              <w:left w:w="108" w:type="dxa"/>
              <w:bottom w:w="0" w:type="dxa"/>
              <w:right w:w="108" w:type="dxa"/>
            </w:tcMar>
            <w:hideMark/>
          </w:tcPr>
          <w:p w14:paraId="2218D857" w14:textId="77777777" w:rsidR="000B697A" w:rsidRDefault="000B697A">
            <w:pPr>
              <w:rPr>
                <w:szCs w:val="22"/>
              </w:rPr>
            </w:pPr>
            <w:r>
              <w:rPr>
                <w:noProof/>
                <w:szCs w:val="22"/>
                <w:lang w:eastAsia="en-GB"/>
              </w:rPr>
              <w:drawing>
                <wp:anchor distT="0" distB="0" distL="114300" distR="114300" simplePos="0" relativeHeight="251663360" behindDoc="0" locked="0" layoutInCell="1" allowOverlap="1" wp14:anchorId="6A5532F8" wp14:editId="619133DA">
                  <wp:simplePos x="0" y="0"/>
                  <wp:positionH relativeFrom="column">
                    <wp:posOffset>-17780</wp:posOffset>
                  </wp:positionH>
                  <wp:positionV relativeFrom="paragraph">
                    <wp:posOffset>-67310</wp:posOffset>
                  </wp:positionV>
                  <wp:extent cx="1397000" cy="1332230"/>
                  <wp:effectExtent l="0" t="0" r="0" b="1270"/>
                  <wp:wrapNone/>
                  <wp:docPr id="2" name="Picture 2" descr="TBC logo full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 full black-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332230"/>
                          </a:xfrm>
                          <a:prstGeom prst="rect">
                            <a:avLst/>
                          </a:prstGeom>
                          <a:noFill/>
                        </pic:spPr>
                      </pic:pic>
                    </a:graphicData>
                  </a:graphic>
                  <wp14:sizeRelH relativeFrom="page">
                    <wp14:pctWidth>0</wp14:pctWidth>
                  </wp14:sizeRelH>
                  <wp14:sizeRelV relativeFrom="page">
                    <wp14:pctHeight>0</wp14:pctHeight>
                  </wp14:sizeRelV>
                </wp:anchor>
              </w:drawing>
            </w:r>
          </w:p>
        </w:tc>
      </w:tr>
      <w:tr w:rsidR="000B697A" w14:paraId="19D620DE" w14:textId="77777777" w:rsidTr="002930D8">
        <w:trPr>
          <w:trHeight w:val="564"/>
        </w:trPr>
        <w:tc>
          <w:tcPr>
            <w:tcW w:w="91" w:type="dxa"/>
            <w:hideMark/>
          </w:tcPr>
          <w:p w14:paraId="0C73D828" w14:textId="77777777" w:rsidR="000B697A" w:rsidRDefault="000B697A" w:rsidP="000B697A">
            <w:pPr>
              <w:rPr>
                <w:sz w:val="20"/>
                <w:szCs w:val="20"/>
              </w:rPr>
            </w:pPr>
          </w:p>
          <w:p w14:paraId="53383E16" w14:textId="77777777" w:rsidR="000B697A" w:rsidRDefault="000B697A" w:rsidP="000B697A">
            <w:pPr>
              <w:rPr>
                <w:sz w:val="20"/>
                <w:szCs w:val="20"/>
              </w:rPr>
            </w:pPr>
          </w:p>
          <w:p w14:paraId="2FB2BDBE" w14:textId="77777777" w:rsidR="000B697A" w:rsidRDefault="000B697A" w:rsidP="000B697A">
            <w:pPr>
              <w:rPr>
                <w:sz w:val="20"/>
                <w:szCs w:val="20"/>
              </w:rPr>
            </w:pPr>
          </w:p>
          <w:p w14:paraId="7725DD24" w14:textId="77777777" w:rsidR="000B697A" w:rsidRDefault="000B697A" w:rsidP="000B697A">
            <w:pPr>
              <w:rPr>
                <w:sz w:val="20"/>
                <w:szCs w:val="20"/>
              </w:rPr>
            </w:pPr>
          </w:p>
          <w:p w14:paraId="02A193FC" w14:textId="77777777" w:rsidR="000B697A" w:rsidRDefault="000B697A" w:rsidP="000B697A">
            <w:pPr>
              <w:rPr>
                <w:sz w:val="20"/>
                <w:szCs w:val="20"/>
              </w:rPr>
            </w:pPr>
          </w:p>
          <w:p w14:paraId="0BB6DF3A" w14:textId="77777777" w:rsidR="000B697A" w:rsidRDefault="000B697A" w:rsidP="000B697A">
            <w:pPr>
              <w:rPr>
                <w:sz w:val="20"/>
                <w:szCs w:val="20"/>
              </w:rPr>
            </w:pPr>
          </w:p>
          <w:p w14:paraId="019E5BCA" w14:textId="77777777" w:rsidR="000B697A" w:rsidRDefault="000B697A" w:rsidP="000B697A">
            <w:pPr>
              <w:rPr>
                <w:sz w:val="20"/>
                <w:szCs w:val="20"/>
              </w:rPr>
            </w:pPr>
          </w:p>
          <w:p w14:paraId="333402D5" w14:textId="77777777" w:rsidR="000B697A" w:rsidRDefault="000B697A" w:rsidP="000B697A">
            <w:pPr>
              <w:rPr>
                <w:sz w:val="20"/>
                <w:szCs w:val="20"/>
              </w:rPr>
            </w:pPr>
          </w:p>
        </w:tc>
        <w:tc>
          <w:tcPr>
            <w:tcW w:w="2090" w:type="dxa"/>
            <w:tcMar>
              <w:top w:w="0" w:type="dxa"/>
              <w:left w:w="108" w:type="dxa"/>
              <w:bottom w:w="0" w:type="dxa"/>
              <w:right w:w="108" w:type="dxa"/>
            </w:tcMar>
          </w:tcPr>
          <w:p w14:paraId="6D5D6146" w14:textId="77777777" w:rsidR="000B697A" w:rsidRDefault="000B697A" w:rsidP="000B697A">
            <w:pPr>
              <w:rPr>
                <w:sz w:val="20"/>
                <w:szCs w:val="20"/>
              </w:rPr>
            </w:pPr>
          </w:p>
        </w:tc>
        <w:tc>
          <w:tcPr>
            <w:tcW w:w="3053" w:type="dxa"/>
            <w:tcMar>
              <w:top w:w="0" w:type="dxa"/>
              <w:left w:w="108" w:type="dxa"/>
              <w:bottom w:w="0" w:type="dxa"/>
              <w:right w:w="108" w:type="dxa"/>
            </w:tcMar>
          </w:tcPr>
          <w:p w14:paraId="3269AC36" w14:textId="77777777" w:rsidR="000B697A" w:rsidRDefault="000B697A" w:rsidP="000B697A">
            <w:pPr>
              <w:rPr>
                <w:sz w:val="20"/>
                <w:szCs w:val="20"/>
              </w:rPr>
            </w:pPr>
          </w:p>
          <w:p w14:paraId="1B005389" w14:textId="77777777" w:rsidR="000B697A" w:rsidRDefault="000B697A" w:rsidP="000B697A">
            <w:pPr>
              <w:rPr>
                <w:sz w:val="20"/>
                <w:szCs w:val="20"/>
              </w:rPr>
            </w:pPr>
          </w:p>
          <w:p w14:paraId="76915FEB" w14:textId="77777777" w:rsidR="000B697A" w:rsidRDefault="000B697A" w:rsidP="000B697A">
            <w:pPr>
              <w:rPr>
                <w:sz w:val="20"/>
                <w:szCs w:val="20"/>
              </w:rPr>
            </w:pPr>
          </w:p>
          <w:p w14:paraId="4219C091" w14:textId="77777777" w:rsidR="000B697A" w:rsidRDefault="000B697A" w:rsidP="000B697A">
            <w:pPr>
              <w:rPr>
                <w:sz w:val="20"/>
                <w:szCs w:val="20"/>
              </w:rPr>
            </w:pPr>
          </w:p>
          <w:p w14:paraId="70FD60CD" w14:textId="77777777" w:rsidR="000B697A" w:rsidRDefault="000B697A" w:rsidP="000B697A">
            <w:pPr>
              <w:rPr>
                <w:sz w:val="20"/>
                <w:szCs w:val="20"/>
              </w:rPr>
            </w:pPr>
          </w:p>
          <w:p w14:paraId="4377886A" w14:textId="77777777" w:rsidR="000B697A" w:rsidRDefault="000B697A" w:rsidP="000B697A">
            <w:pPr>
              <w:rPr>
                <w:sz w:val="20"/>
                <w:szCs w:val="20"/>
              </w:rPr>
            </w:pPr>
          </w:p>
          <w:p w14:paraId="5BB932BB" w14:textId="77777777" w:rsidR="000B697A" w:rsidRDefault="000B697A" w:rsidP="000B697A">
            <w:pPr>
              <w:rPr>
                <w:sz w:val="20"/>
                <w:szCs w:val="20"/>
              </w:rPr>
            </w:pPr>
          </w:p>
          <w:p w14:paraId="6ADC232C" w14:textId="77777777" w:rsidR="000B697A" w:rsidRDefault="000B697A" w:rsidP="000B697A">
            <w:pPr>
              <w:rPr>
                <w:sz w:val="20"/>
                <w:szCs w:val="20"/>
              </w:rPr>
            </w:pPr>
          </w:p>
        </w:tc>
        <w:tc>
          <w:tcPr>
            <w:tcW w:w="4242" w:type="dxa"/>
            <w:gridSpan w:val="2"/>
            <w:vAlign w:val="center"/>
            <w:hideMark/>
          </w:tcPr>
          <w:p w14:paraId="1A3E36C3" w14:textId="77777777" w:rsidR="000B697A" w:rsidRDefault="000B697A" w:rsidP="000B697A">
            <w:r>
              <w:t> </w:t>
            </w:r>
          </w:p>
          <w:p w14:paraId="5FC7A058" w14:textId="77777777" w:rsidR="000B697A" w:rsidRDefault="000B697A" w:rsidP="000B697A"/>
          <w:p w14:paraId="085F3114" w14:textId="77777777" w:rsidR="000B697A" w:rsidRDefault="000B697A" w:rsidP="000B697A"/>
          <w:p w14:paraId="46EA8F54" w14:textId="77777777" w:rsidR="000B697A" w:rsidRDefault="000B697A" w:rsidP="000B697A"/>
          <w:p w14:paraId="2F8952CC" w14:textId="77777777" w:rsidR="000B697A" w:rsidRDefault="000B697A" w:rsidP="000B697A"/>
          <w:p w14:paraId="423A2850" w14:textId="77777777" w:rsidR="000B697A" w:rsidRDefault="000B697A" w:rsidP="000B697A"/>
          <w:p w14:paraId="4C29547C" w14:textId="77777777" w:rsidR="000B697A" w:rsidRDefault="000B697A" w:rsidP="000B697A"/>
          <w:p w14:paraId="689B0790" w14:textId="77777777" w:rsidR="000B697A" w:rsidRDefault="000B697A" w:rsidP="000B697A"/>
          <w:p w14:paraId="1E7E1C72" w14:textId="77777777" w:rsidR="000B697A" w:rsidRDefault="000B697A" w:rsidP="000B697A">
            <w:pPr>
              <w:rPr>
                <w:sz w:val="20"/>
                <w:szCs w:val="20"/>
              </w:rPr>
            </w:pPr>
            <w:r>
              <w:rPr>
                <w:sz w:val="20"/>
                <w:szCs w:val="20"/>
              </w:rPr>
              <w:t>Our Contact: Annette Roberts</w:t>
            </w:r>
          </w:p>
          <w:p w14:paraId="671601ED" w14:textId="77777777" w:rsidR="000B697A" w:rsidRDefault="000B697A" w:rsidP="000B697A">
            <w:pPr>
              <w:rPr>
                <w:sz w:val="20"/>
                <w:szCs w:val="20"/>
              </w:rPr>
            </w:pPr>
            <w:r>
              <w:rPr>
                <w:sz w:val="20"/>
                <w:szCs w:val="20"/>
              </w:rPr>
              <w:t>Telephone:   01684 272095</w:t>
            </w:r>
          </w:p>
          <w:p w14:paraId="5254C9FF" w14:textId="77777777" w:rsidR="000B697A" w:rsidRDefault="002930D8" w:rsidP="000B697A">
            <w:pPr>
              <w:rPr>
                <w:szCs w:val="22"/>
              </w:rPr>
            </w:pPr>
            <w:r>
              <w:rPr>
                <w:sz w:val="20"/>
                <w:szCs w:val="20"/>
              </w:rPr>
              <w:t xml:space="preserve">Email:         </w:t>
            </w:r>
            <w:r w:rsidR="000B697A">
              <w:rPr>
                <w:sz w:val="20"/>
                <w:szCs w:val="20"/>
              </w:rPr>
              <w:t>annette.roberts@tewkesbury.gov.uk</w:t>
            </w:r>
          </w:p>
        </w:tc>
      </w:tr>
      <w:tr w:rsidR="000B697A" w14:paraId="0FF728CF" w14:textId="77777777" w:rsidTr="002930D8">
        <w:trPr>
          <w:trHeight w:val="564"/>
        </w:trPr>
        <w:tc>
          <w:tcPr>
            <w:tcW w:w="91" w:type="dxa"/>
          </w:tcPr>
          <w:p w14:paraId="46B7A756" w14:textId="77777777" w:rsidR="000B697A" w:rsidRDefault="000B697A" w:rsidP="000B697A">
            <w:pPr>
              <w:rPr>
                <w:sz w:val="20"/>
                <w:szCs w:val="20"/>
              </w:rPr>
            </w:pPr>
          </w:p>
        </w:tc>
        <w:tc>
          <w:tcPr>
            <w:tcW w:w="2090" w:type="dxa"/>
            <w:tcMar>
              <w:top w:w="0" w:type="dxa"/>
              <w:left w:w="108" w:type="dxa"/>
              <w:bottom w:w="0" w:type="dxa"/>
              <w:right w:w="108" w:type="dxa"/>
            </w:tcMar>
          </w:tcPr>
          <w:p w14:paraId="0E9B5B0C" w14:textId="77777777" w:rsidR="000B697A" w:rsidRDefault="000B697A" w:rsidP="000B697A">
            <w:pPr>
              <w:rPr>
                <w:sz w:val="20"/>
                <w:szCs w:val="20"/>
              </w:rPr>
            </w:pPr>
          </w:p>
        </w:tc>
        <w:tc>
          <w:tcPr>
            <w:tcW w:w="3053" w:type="dxa"/>
            <w:tcMar>
              <w:top w:w="0" w:type="dxa"/>
              <w:left w:w="108" w:type="dxa"/>
              <w:bottom w:w="0" w:type="dxa"/>
              <w:right w:w="108" w:type="dxa"/>
            </w:tcMar>
          </w:tcPr>
          <w:p w14:paraId="790095CD" w14:textId="77777777" w:rsidR="000B697A" w:rsidRDefault="000B697A" w:rsidP="000B697A">
            <w:pPr>
              <w:rPr>
                <w:sz w:val="20"/>
                <w:szCs w:val="20"/>
              </w:rPr>
            </w:pPr>
          </w:p>
        </w:tc>
        <w:tc>
          <w:tcPr>
            <w:tcW w:w="4242" w:type="dxa"/>
            <w:gridSpan w:val="2"/>
            <w:vAlign w:val="center"/>
          </w:tcPr>
          <w:p w14:paraId="267FCD63" w14:textId="77777777" w:rsidR="000B697A" w:rsidRDefault="000B697A" w:rsidP="000B697A"/>
        </w:tc>
      </w:tr>
    </w:tbl>
    <w:p w14:paraId="17E53883" w14:textId="77777777" w:rsidR="009501E4" w:rsidRDefault="002930D8" w:rsidP="005F7642">
      <w:pPr>
        <w:tabs>
          <w:tab w:val="left" w:pos="5040"/>
          <w:tab w:val="left" w:pos="6480"/>
        </w:tabs>
        <w:rPr>
          <w:rFonts w:cs="Arial"/>
          <w:szCs w:val="22"/>
        </w:rPr>
      </w:pPr>
      <w:r>
        <w:rPr>
          <w:rFonts w:cs="Arial"/>
          <w:szCs w:val="22"/>
        </w:rPr>
        <w:t>Gotherington Parish Council</w:t>
      </w:r>
    </w:p>
    <w:p w14:paraId="4FB5AC9E" w14:textId="77777777" w:rsidR="00727A40" w:rsidRDefault="00727A40" w:rsidP="005F7642">
      <w:pPr>
        <w:tabs>
          <w:tab w:val="left" w:pos="5040"/>
          <w:tab w:val="left" w:pos="6480"/>
        </w:tabs>
        <w:rPr>
          <w:rFonts w:cs="Arial"/>
          <w:szCs w:val="22"/>
        </w:rPr>
      </w:pPr>
      <w:r>
        <w:rPr>
          <w:rFonts w:cs="Arial"/>
          <w:szCs w:val="22"/>
        </w:rPr>
        <w:t>c/o The Clerk</w:t>
      </w:r>
    </w:p>
    <w:p w14:paraId="07ABF7A1" w14:textId="77777777" w:rsidR="00727A40" w:rsidRDefault="00727A40" w:rsidP="005F7642">
      <w:pPr>
        <w:tabs>
          <w:tab w:val="left" w:pos="5040"/>
          <w:tab w:val="left" w:pos="6480"/>
        </w:tabs>
        <w:rPr>
          <w:rFonts w:cs="Arial"/>
          <w:szCs w:val="22"/>
        </w:rPr>
      </w:pPr>
      <w:r>
        <w:rPr>
          <w:rFonts w:cs="Arial"/>
          <w:szCs w:val="22"/>
        </w:rPr>
        <w:t>Packhorse Cottage</w:t>
      </w:r>
    </w:p>
    <w:p w14:paraId="6B4780E0" w14:textId="77777777" w:rsidR="00727A40" w:rsidRDefault="00727A40" w:rsidP="005F7642">
      <w:pPr>
        <w:tabs>
          <w:tab w:val="left" w:pos="5040"/>
          <w:tab w:val="left" w:pos="6480"/>
        </w:tabs>
        <w:rPr>
          <w:rFonts w:cs="Arial"/>
          <w:szCs w:val="22"/>
        </w:rPr>
      </w:pPr>
      <w:r>
        <w:rPr>
          <w:rFonts w:cs="Arial"/>
          <w:szCs w:val="22"/>
        </w:rPr>
        <w:t>Malthouse Lane</w:t>
      </w:r>
    </w:p>
    <w:p w14:paraId="312803B8" w14:textId="77777777" w:rsidR="00727A40" w:rsidRDefault="00727A40" w:rsidP="005F7642">
      <w:pPr>
        <w:tabs>
          <w:tab w:val="left" w:pos="5040"/>
          <w:tab w:val="left" w:pos="6480"/>
        </w:tabs>
        <w:rPr>
          <w:rFonts w:cs="Arial"/>
          <w:szCs w:val="22"/>
        </w:rPr>
      </w:pPr>
      <w:r>
        <w:rPr>
          <w:rFonts w:cs="Arial"/>
          <w:szCs w:val="22"/>
        </w:rPr>
        <w:t>Winchcombe</w:t>
      </w:r>
    </w:p>
    <w:p w14:paraId="67236483" w14:textId="77777777" w:rsidR="00727A40" w:rsidRDefault="00727A40" w:rsidP="005F7642">
      <w:pPr>
        <w:tabs>
          <w:tab w:val="left" w:pos="5040"/>
          <w:tab w:val="left" w:pos="6480"/>
        </w:tabs>
        <w:rPr>
          <w:rFonts w:cs="Arial"/>
          <w:szCs w:val="22"/>
        </w:rPr>
      </w:pPr>
      <w:r>
        <w:rPr>
          <w:rFonts w:cs="Arial"/>
          <w:szCs w:val="22"/>
        </w:rPr>
        <w:t>GL54 5LY</w:t>
      </w:r>
    </w:p>
    <w:p w14:paraId="53D3D80B" w14:textId="77777777" w:rsidR="000B697A" w:rsidRDefault="000B697A" w:rsidP="005F7642">
      <w:pPr>
        <w:tabs>
          <w:tab w:val="left" w:pos="5040"/>
          <w:tab w:val="left" w:pos="6480"/>
        </w:tabs>
        <w:rPr>
          <w:rFonts w:cs="Arial"/>
          <w:szCs w:val="22"/>
        </w:rPr>
      </w:pPr>
    </w:p>
    <w:p w14:paraId="011411C4" w14:textId="77777777" w:rsidR="000B697A" w:rsidRDefault="000B697A" w:rsidP="005F7642">
      <w:pPr>
        <w:tabs>
          <w:tab w:val="left" w:pos="5040"/>
          <w:tab w:val="left" w:pos="6480"/>
        </w:tabs>
        <w:rPr>
          <w:rFonts w:cs="Arial"/>
          <w:szCs w:val="22"/>
        </w:rPr>
      </w:pPr>
    </w:p>
    <w:p w14:paraId="79FA31AA" w14:textId="77777777" w:rsidR="005F7642" w:rsidRDefault="002930D8" w:rsidP="005F7642">
      <w:pPr>
        <w:tabs>
          <w:tab w:val="left" w:pos="5040"/>
          <w:tab w:val="left" w:pos="6480"/>
        </w:tabs>
        <w:rPr>
          <w:rFonts w:cs="Arial"/>
          <w:szCs w:val="22"/>
        </w:rPr>
      </w:pPr>
      <w:r>
        <w:rPr>
          <w:rFonts w:cs="Arial"/>
          <w:szCs w:val="22"/>
        </w:rPr>
        <w:t>6 February 2019</w:t>
      </w:r>
    </w:p>
    <w:p w14:paraId="0E504012" w14:textId="77777777" w:rsidR="005F7642" w:rsidRDefault="005F7642" w:rsidP="005F7642">
      <w:pPr>
        <w:tabs>
          <w:tab w:val="left" w:pos="5040"/>
          <w:tab w:val="left" w:pos="6480"/>
        </w:tabs>
        <w:rPr>
          <w:rFonts w:cs="Arial"/>
          <w:szCs w:val="22"/>
        </w:rPr>
      </w:pPr>
    </w:p>
    <w:p w14:paraId="37B6B48D" w14:textId="77777777" w:rsidR="005F7642" w:rsidRDefault="005F7642" w:rsidP="005F7642">
      <w:pPr>
        <w:tabs>
          <w:tab w:val="left" w:pos="5040"/>
          <w:tab w:val="left" w:pos="6480"/>
        </w:tabs>
        <w:rPr>
          <w:rFonts w:cs="Arial"/>
          <w:szCs w:val="22"/>
        </w:rPr>
      </w:pPr>
    </w:p>
    <w:p w14:paraId="77396008" w14:textId="77777777" w:rsidR="005F7642" w:rsidRDefault="005F7642" w:rsidP="005F7642">
      <w:pPr>
        <w:tabs>
          <w:tab w:val="left" w:pos="5040"/>
          <w:tab w:val="left" w:pos="6480"/>
        </w:tabs>
        <w:rPr>
          <w:rFonts w:cs="Arial"/>
          <w:szCs w:val="22"/>
        </w:rPr>
      </w:pPr>
      <w:r>
        <w:rPr>
          <w:rFonts w:cs="Arial"/>
          <w:szCs w:val="22"/>
        </w:rPr>
        <w:t xml:space="preserve">Dear </w:t>
      </w:r>
      <w:r w:rsidR="002930D8">
        <w:rPr>
          <w:rFonts w:cs="Arial"/>
          <w:szCs w:val="22"/>
        </w:rPr>
        <w:t>Gotherington Parish Council</w:t>
      </w:r>
    </w:p>
    <w:p w14:paraId="6F2618CD" w14:textId="77777777" w:rsidR="005F7642" w:rsidRDefault="005F7642" w:rsidP="005F7642">
      <w:pPr>
        <w:tabs>
          <w:tab w:val="left" w:pos="5040"/>
          <w:tab w:val="left" w:pos="6480"/>
        </w:tabs>
        <w:rPr>
          <w:rFonts w:cs="Arial"/>
          <w:szCs w:val="22"/>
        </w:rPr>
      </w:pPr>
    </w:p>
    <w:p w14:paraId="23926118" w14:textId="77777777" w:rsidR="005F7642" w:rsidRPr="009E7C76" w:rsidRDefault="009E7C76" w:rsidP="005F7642">
      <w:pPr>
        <w:tabs>
          <w:tab w:val="left" w:pos="5040"/>
          <w:tab w:val="left" w:pos="6480"/>
        </w:tabs>
        <w:rPr>
          <w:rFonts w:cs="Arial"/>
          <w:b/>
          <w:szCs w:val="22"/>
        </w:rPr>
      </w:pPr>
      <w:r w:rsidRPr="009E7C76">
        <w:rPr>
          <w:rFonts w:cs="Arial"/>
          <w:b/>
          <w:szCs w:val="22"/>
        </w:rPr>
        <w:t>Expression of Interest</w:t>
      </w:r>
    </w:p>
    <w:p w14:paraId="41A3897F" w14:textId="77777777" w:rsidR="00856F23" w:rsidRDefault="00856F23" w:rsidP="005F7642">
      <w:pPr>
        <w:tabs>
          <w:tab w:val="left" w:pos="5040"/>
          <w:tab w:val="left" w:pos="6480"/>
        </w:tabs>
        <w:rPr>
          <w:rFonts w:cs="Arial"/>
          <w:b/>
          <w:szCs w:val="22"/>
          <w:u w:val="single"/>
        </w:rPr>
      </w:pPr>
    </w:p>
    <w:p w14:paraId="39DE9452" w14:textId="77777777" w:rsidR="005F7642" w:rsidRDefault="005F7642" w:rsidP="005F7642">
      <w:pPr>
        <w:jc w:val="both"/>
        <w:rPr>
          <w:rFonts w:cs="Arial"/>
          <w:szCs w:val="22"/>
        </w:rPr>
      </w:pPr>
      <w:r>
        <w:rPr>
          <w:rFonts w:cs="Arial"/>
          <w:szCs w:val="22"/>
        </w:rPr>
        <w:t xml:space="preserve">I </w:t>
      </w:r>
      <w:r w:rsidR="009E7C76">
        <w:rPr>
          <w:rFonts w:cs="Arial"/>
          <w:szCs w:val="22"/>
        </w:rPr>
        <w:t>am writing to i</w:t>
      </w:r>
      <w:r w:rsidR="00B947B0">
        <w:rPr>
          <w:rFonts w:cs="Arial"/>
          <w:szCs w:val="22"/>
        </w:rPr>
        <w:t xml:space="preserve">nform you of the outcome of </w:t>
      </w:r>
      <w:r w:rsidR="00E4491B">
        <w:rPr>
          <w:rFonts w:cs="Arial"/>
          <w:szCs w:val="22"/>
        </w:rPr>
        <w:t xml:space="preserve">your </w:t>
      </w:r>
      <w:r w:rsidR="009E7C76">
        <w:rPr>
          <w:rFonts w:cs="Arial"/>
          <w:szCs w:val="22"/>
        </w:rPr>
        <w:t>expression of interest regarding the S106 fund</w:t>
      </w:r>
      <w:r w:rsidR="002930D8">
        <w:rPr>
          <w:rFonts w:cs="Arial"/>
          <w:szCs w:val="22"/>
        </w:rPr>
        <w:t>s for the Persimmon and Centaur</w:t>
      </w:r>
      <w:r w:rsidR="009E7C76">
        <w:rPr>
          <w:rFonts w:cs="Arial"/>
          <w:szCs w:val="22"/>
        </w:rPr>
        <w:t xml:space="preserve"> developments. </w:t>
      </w:r>
    </w:p>
    <w:p w14:paraId="2AECD6B2" w14:textId="77777777" w:rsidR="009E7C76" w:rsidRDefault="009E7C76" w:rsidP="005F7642">
      <w:pPr>
        <w:jc w:val="both"/>
        <w:rPr>
          <w:rFonts w:cs="Arial"/>
          <w:szCs w:val="22"/>
        </w:rPr>
      </w:pPr>
    </w:p>
    <w:p w14:paraId="5AF53A63" w14:textId="77777777" w:rsidR="00E4491B" w:rsidRDefault="009E7C76" w:rsidP="005F7642">
      <w:pPr>
        <w:jc w:val="both"/>
        <w:rPr>
          <w:rFonts w:cs="Arial"/>
          <w:szCs w:val="22"/>
        </w:rPr>
      </w:pPr>
      <w:r>
        <w:rPr>
          <w:rFonts w:cs="Arial"/>
          <w:szCs w:val="22"/>
        </w:rPr>
        <w:t xml:space="preserve">In consultation with the S106 Member Panel </w:t>
      </w:r>
      <w:r w:rsidR="002930D8">
        <w:rPr>
          <w:rFonts w:cs="Arial"/>
          <w:szCs w:val="22"/>
        </w:rPr>
        <w:t xml:space="preserve">the decision is </w:t>
      </w:r>
      <w:r w:rsidR="002461A4">
        <w:rPr>
          <w:rFonts w:cs="Arial"/>
          <w:szCs w:val="22"/>
        </w:rPr>
        <w:t>to allocate the following</w:t>
      </w:r>
      <w:r w:rsidR="002930D8">
        <w:rPr>
          <w:rFonts w:cs="Arial"/>
          <w:szCs w:val="22"/>
        </w:rPr>
        <w:t xml:space="preserve"> funds</w:t>
      </w:r>
      <w:r w:rsidR="00151E53">
        <w:rPr>
          <w:rFonts w:cs="Arial"/>
          <w:szCs w:val="22"/>
        </w:rPr>
        <w:t xml:space="preserve"> as follows</w:t>
      </w:r>
      <w:r w:rsidR="002461A4">
        <w:rPr>
          <w:rFonts w:cs="Arial"/>
          <w:szCs w:val="22"/>
        </w:rPr>
        <w:t>:</w:t>
      </w:r>
    </w:p>
    <w:p w14:paraId="0CCDCBFF" w14:textId="77777777" w:rsidR="002930D8" w:rsidRDefault="002930D8" w:rsidP="005F7642">
      <w:pPr>
        <w:jc w:val="both"/>
        <w:rPr>
          <w:rFonts w:cs="Arial"/>
          <w:szCs w:val="22"/>
        </w:rPr>
      </w:pPr>
    </w:p>
    <w:tbl>
      <w:tblPr>
        <w:tblStyle w:val="TableGrid"/>
        <w:tblW w:w="9776" w:type="dxa"/>
        <w:tblLook w:val="04A0" w:firstRow="1" w:lastRow="0" w:firstColumn="1" w:lastColumn="0" w:noHBand="0" w:noVBand="1"/>
      </w:tblPr>
      <w:tblGrid>
        <w:gridCol w:w="4815"/>
        <w:gridCol w:w="4961"/>
      </w:tblGrid>
      <w:tr w:rsidR="002930D8" w14:paraId="50833411" w14:textId="77777777" w:rsidTr="00554733">
        <w:tc>
          <w:tcPr>
            <w:tcW w:w="4815" w:type="dxa"/>
            <w:shd w:val="clear" w:color="auto" w:fill="000000" w:themeFill="text1"/>
          </w:tcPr>
          <w:p w14:paraId="4E17BBEB" w14:textId="77777777" w:rsidR="002930D8" w:rsidRPr="00995093" w:rsidRDefault="002930D8" w:rsidP="00B861C8">
            <w:pPr>
              <w:jc w:val="center"/>
              <w:rPr>
                <w:b/>
              </w:rPr>
            </w:pPr>
            <w:r w:rsidRPr="00995093">
              <w:rPr>
                <w:b/>
              </w:rPr>
              <w:t>Persimmon</w:t>
            </w:r>
          </w:p>
          <w:p w14:paraId="7F910EBE" w14:textId="77777777" w:rsidR="002930D8" w:rsidRPr="00995093" w:rsidRDefault="002930D8" w:rsidP="00B861C8">
            <w:pPr>
              <w:jc w:val="center"/>
              <w:rPr>
                <w:b/>
                <w:u w:val="single"/>
              </w:rPr>
            </w:pPr>
          </w:p>
        </w:tc>
        <w:tc>
          <w:tcPr>
            <w:tcW w:w="4961" w:type="dxa"/>
            <w:shd w:val="clear" w:color="auto" w:fill="000000" w:themeFill="text1"/>
          </w:tcPr>
          <w:p w14:paraId="7AEF9032" w14:textId="77777777" w:rsidR="002930D8" w:rsidRPr="00995093" w:rsidRDefault="002930D8" w:rsidP="00B861C8">
            <w:pPr>
              <w:jc w:val="center"/>
              <w:rPr>
                <w:b/>
              </w:rPr>
            </w:pPr>
            <w:r>
              <w:rPr>
                <w:b/>
              </w:rPr>
              <w:t>Centaur</w:t>
            </w:r>
          </w:p>
          <w:p w14:paraId="537BD40F" w14:textId="77777777" w:rsidR="002930D8" w:rsidRPr="00995093" w:rsidRDefault="002930D8" w:rsidP="00B861C8">
            <w:pPr>
              <w:jc w:val="center"/>
              <w:rPr>
                <w:b/>
                <w:u w:val="single"/>
              </w:rPr>
            </w:pPr>
          </w:p>
        </w:tc>
      </w:tr>
      <w:tr w:rsidR="002930D8" w14:paraId="2E213E0E" w14:textId="77777777" w:rsidTr="00554733">
        <w:trPr>
          <w:trHeight w:val="3746"/>
        </w:trPr>
        <w:tc>
          <w:tcPr>
            <w:tcW w:w="4815" w:type="dxa"/>
          </w:tcPr>
          <w:p w14:paraId="54714A3D" w14:textId="77777777" w:rsidR="002930D8" w:rsidRDefault="002930D8" w:rsidP="00B861C8">
            <w:pPr>
              <w:jc w:val="center"/>
            </w:pPr>
            <w:r w:rsidRPr="000947BD">
              <w:rPr>
                <w:color w:val="C00000"/>
              </w:rPr>
              <w:t xml:space="preserve">P 1 </w:t>
            </w:r>
            <w:r>
              <w:t>– Community Project Contribution  - £</w:t>
            </w:r>
            <w:r w:rsidRPr="0032349E">
              <w:t>23</w:t>
            </w:r>
            <w:r>
              <w:t>,</w:t>
            </w:r>
            <w:r w:rsidRPr="0032349E">
              <w:t>469.99</w:t>
            </w:r>
          </w:p>
          <w:p w14:paraId="1939ECBD" w14:textId="77777777" w:rsidR="002930D8" w:rsidRDefault="002930D8" w:rsidP="00B861C8">
            <w:pPr>
              <w:jc w:val="center"/>
            </w:pPr>
          </w:p>
          <w:p w14:paraId="5E3BDBAF" w14:textId="77777777" w:rsidR="002930D8" w:rsidRPr="00554733" w:rsidRDefault="002930D8" w:rsidP="00554733">
            <w:pPr>
              <w:jc w:val="center"/>
            </w:pPr>
            <w:r>
              <w:t>‘</w:t>
            </w:r>
            <w:r w:rsidRPr="0032349E">
              <w:t xml:space="preserve">towards community building improvements within Gotherington and the vicinity of the site including any costs incurred in respect of the preparation and submission of a planning application in respect of such community building improvements (including any consultancy fees and ancillary costs in respect of the same) and which for the avoidance of doubt may include costs already incurred prior to receipt of the </w:t>
            </w:r>
            <w:r>
              <w:t>Community project contribution’</w:t>
            </w:r>
          </w:p>
        </w:tc>
        <w:tc>
          <w:tcPr>
            <w:tcW w:w="4961" w:type="dxa"/>
          </w:tcPr>
          <w:p w14:paraId="3967BE4A" w14:textId="77777777" w:rsidR="002930D8" w:rsidRDefault="002930D8" w:rsidP="00B861C8">
            <w:pPr>
              <w:jc w:val="center"/>
            </w:pPr>
            <w:r w:rsidRPr="000947BD">
              <w:rPr>
                <w:color w:val="C00000"/>
              </w:rPr>
              <w:t xml:space="preserve">C1 </w:t>
            </w:r>
            <w:r>
              <w:t xml:space="preserve">- </w:t>
            </w:r>
            <w:r w:rsidRPr="007C0CEA">
              <w:t>Sports facilities contribution</w:t>
            </w:r>
            <w:r>
              <w:t xml:space="preserve">  -</w:t>
            </w:r>
          </w:p>
          <w:p w14:paraId="5BFBDE12" w14:textId="77777777" w:rsidR="002930D8" w:rsidRDefault="002930D8" w:rsidP="00B861C8">
            <w:pPr>
              <w:jc w:val="center"/>
            </w:pPr>
            <w:r>
              <w:t>£9,357.18</w:t>
            </w:r>
          </w:p>
          <w:p w14:paraId="6883336D" w14:textId="77777777" w:rsidR="002930D8" w:rsidRDefault="002930D8" w:rsidP="00B861C8">
            <w:pPr>
              <w:jc w:val="center"/>
            </w:pPr>
          </w:p>
          <w:p w14:paraId="0C58C31A" w14:textId="77777777" w:rsidR="002930D8" w:rsidRPr="007C0CEA" w:rsidRDefault="002930D8" w:rsidP="00B861C8">
            <w:pPr>
              <w:jc w:val="center"/>
            </w:pPr>
          </w:p>
          <w:p w14:paraId="44418281" w14:textId="77777777" w:rsidR="002930D8" w:rsidRPr="007C0CEA" w:rsidRDefault="002930D8" w:rsidP="00B861C8">
            <w:pPr>
              <w:jc w:val="center"/>
            </w:pPr>
            <w:r>
              <w:t>‘t</w:t>
            </w:r>
            <w:r w:rsidRPr="007C0CEA">
              <w:t>owards the provision of off-site sports, community and recreational facilities with any residual being used towards cost of improving Gotherington Parish Village Hall</w:t>
            </w:r>
            <w:r>
              <w:t>’</w:t>
            </w:r>
          </w:p>
          <w:p w14:paraId="20386256" w14:textId="77777777" w:rsidR="002930D8" w:rsidRDefault="002930D8" w:rsidP="00B861C8">
            <w:pPr>
              <w:jc w:val="center"/>
              <w:rPr>
                <w:u w:val="single"/>
              </w:rPr>
            </w:pPr>
          </w:p>
        </w:tc>
      </w:tr>
      <w:tr w:rsidR="002930D8" w14:paraId="71FC8B24" w14:textId="77777777" w:rsidTr="00554733">
        <w:trPr>
          <w:trHeight w:val="85"/>
        </w:trPr>
        <w:tc>
          <w:tcPr>
            <w:tcW w:w="4815" w:type="dxa"/>
          </w:tcPr>
          <w:p w14:paraId="4C567D7F" w14:textId="77777777" w:rsidR="002930D8" w:rsidRPr="002930D8" w:rsidRDefault="002930D8" w:rsidP="002930D8">
            <w:pPr>
              <w:rPr>
                <w:color w:val="C00000"/>
              </w:rPr>
            </w:pPr>
            <w:r w:rsidRPr="002930D8">
              <w:rPr>
                <w:color w:val="C00000"/>
              </w:rPr>
              <w:t xml:space="preserve">Awarded to the Old Chapel </w:t>
            </w:r>
            <w:r>
              <w:rPr>
                <w:color w:val="C00000"/>
              </w:rPr>
              <w:t xml:space="preserve">Community Project </w:t>
            </w:r>
            <w:r w:rsidRPr="002930D8">
              <w:rPr>
                <w:color w:val="C00000"/>
              </w:rPr>
              <w:t>for external refu</w:t>
            </w:r>
            <w:r w:rsidR="00554733">
              <w:rPr>
                <w:color w:val="C00000"/>
              </w:rPr>
              <w:t>rbishment of the Old Chapel including</w:t>
            </w:r>
            <w:r w:rsidRPr="002930D8">
              <w:rPr>
                <w:color w:val="C00000"/>
              </w:rPr>
              <w:t xml:space="preserve"> roof and rendering</w:t>
            </w:r>
          </w:p>
          <w:p w14:paraId="2D1945E2" w14:textId="77777777" w:rsidR="002930D8" w:rsidRPr="00995093" w:rsidRDefault="002930D8" w:rsidP="00B861C8">
            <w:pPr>
              <w:jc w:val="center"/>
              <w:rPr>
                <w:color w:val="FF0000"/>
              </w:rPr>
            </w:pPr>
          </w:p>
        </w:tc>
        <w:tc>
          <w:tcPr>
            <w:tcW w:w="4961" w:type="dxa"/>
          </w:tcPr>
          <w:p w14:paraId="3D9AB349" w14:textId="77777777" w:rsidR="00554733" w:rsidRPr="00554733" w:rsidRDefault="002930D8" w:rsidP="00554733">
            <w:pPr>
              <w:rPr>
                <w:color w:val="C00000"/>
              </w:rPr>
            </w:pPr>
            <w:r w:rsidRPr="00554733">
              <w:rPr>
                <w:color w:val="C00000"/>
              </w:rPr>
              <w:t xml:space="preserve">Awarded to Gotherington Parish Council to improve </w:t>
            </w:r>
            <w:r w:rsidR="00554733">
              <w:rPr>
                <w:color w:val="C00000"/>
              </w:rPr>
              <w:t xml:space="preserve">the </w:t>
            </w:r>
            <w:r w:rsidRPr="00554733">
              <w:rPr>
                <w:color w:val="C00000"/>
              </w:rPr>
              <w:t xml:space="preserve">Rex Rhodes building by replacing guttering, down pipes, fascia, upgrade front door and emergency exit to ensure building secure.  </w:t>
            </w:r>
          </w:p>
          <w:p w14:paraId="72DCDC98" w14:textId="77777777" w:rsidR="002930D8" w:rsidRPr="00554733" w:rsidRDefault="002930D8" w:rsidP="00554733">
            <w:pPr>
              <w:pStyle w:val="ListParagraph"/>
              <w:numPr>
                <w:ilvl w:val="0"/>
                <w:numId w:val="3"/>
              </w:numPr>
              <w:rPr>
                <w:color w:val="C00000"/>
              </w:rPr>
            </w:pPr>
            <w:r w:rsidRPr="00554733">
              <w:rPr>
                <w:color w:val="C00000"/>
              </w:rPr>
              <w:lastRenderedPageBreak/>
              <w:t xml:space="preserve">Replace boundary fence. </w:t>
            </w:r>
          </w:p>
          <w:p w14:paraId="1E07B4B2" w14:textId="77777777" w:rsidR="002930D8" w:rsidRPr="002930D8" w:rsidRDefault="002930D8" w:rsidP="002930D8">
            <w:pPr>
              <w:pStyle w:val="ListParagraph"/>
              <w:numPr>
                <w:ilvl w:val="0"/>
                <w:numId w:val="3"/>
              </w:numPr>
              <w:rPr>
                <w:color w:val="C00000"/>
              </w:rPr>
            </w:pPr>
            <w:r w:rsidRPr="002930D8">
              <w:rPr>
                <w:color w:val="C00000"/>
              </w:rPr>
              <w:t>Remove kick wall</w:t>
            </w:r>
          </w:p>
          <w:p w14:paraId="28ABE5B6" w14:textId="77777777" w:rsidR="002930D8" w:rsidRPr="002930D8" w:rsidRDefault="002930D8" w:rsidP="002930D8">
            <w:pPr>
              <w:pStyle w:val="ListParagraph"/>
              <w:numPr>
                <w:ilvl w:val="0"/>
                <w:numId w:val="3"/>
              </w:numPr>
              <w:rPr>
                <w:color w:val="C00000"/>
              </w:rPr>
            </w:pPr>
            <w:r w:rsidRPr="002930D8">
              <w:rPr>
                <w:color w:val="C00000"/>
              </w:rPr>
              <w:t>Gazebo repairs</w:t>
            </w:r>
          </w:p>
          <w:p w14:paraId="659830CF" w14:textId="77777777" w:rsidR="002930D8" w:rsidRPr="002930D8" w:rsidRDefault="002930D8" w:rsidP="002930D8">
            <w:pPr>
              <w:pStyle w:val="ListParagraph"/>
              <w:numPr>
                <w:ilvl w:val="0"/>
                <w:numId w:val="3"/>
              </w:numPr>
              <w:rPr>
                <w:color w:val="C00000"/>
              </w:rPr>
            </w:pPr>
            <w:r w:rsidRPr="002930D8">
              <w:rPr>
                <w:color w:val="C00000"/>
              </w:rPr>
              <w:t>Wet pour playground</w:t>
            </w:r>
          </w:p>
          <w:p w14:paraId="1A957029" w14:textId="77777777" w:rsidR="002930D8" w:rsidRDefault="002930D8" w:rsidP="00B861C8">
            <w:pPr>
              <w:jc w:val="center"/>
              <w:rPr>
                <w:color w:val="FF0000"/>
              </w:rPr>
            </w:pPr>
          </w:p>
        </w:tc>
      </w:tr>
    </w:tbl>
    <w:p w14:paraId="0072D167" w14:textId="77777777" w:rsidR="002930D8" w:rsidRDefault="002930D8" w:rsidP="005F7642">
      <w:pPr>
        <w:jc w:val="both"/>
        <w:rPr>
          <w:rFonts w:cs="Arial"/>
          <w:szCs w:val="22"/>
        </w:rPr>
      </w:pPr>
    </w:p>
    <w:p w14:paraId="4FD8107E" w14:textId="77777777" w:rsidR="002930D8" w:rsidRDefault="002930D8" w:rsidP="005F7642">
      <w:pPr>
        <w:jc w:val="both"/>
        <w:rPr>
          <w:rFonts w:cs="Arial"/>
          <w:szCs w:val="22"/>
        </w:rPr>
      </w:pPr>
    </w:p>
    <w:p w14:paraId="2EFD94D5" w14:textId="77777777" w:rsidR="00554733" w:rsidRDefault="000947BD" w:rsidP="00554733">
      <w:pPr>
        <w:jc w:val="both"/>
        <w:rPr>
          <w:rFonts w:cs="Arial"/>
          <w:szCs w:val="22"/>
        </w:rPr>
      </w:pPr>
      <w:r>
        <w:rPr>
          <w:rFonts w:cs="Arial"/>
          <w:szCs w:val="22"/>
        </w:rPr>
        <w:t xml:space="preserve">Although your expression of interest was for £9,109.42, the council has allocated the full £9,357.18 to the parish council, with the difference to be used towards Gotherington Village Hall. </w:t>
      </w:r>
      <w:r w:rsidR="00554733">
        <w:rPr>
          <w:rFonts w:cs="Arial"/>
          <w:szCs w:val="22"/>
        </w:rPr>
        <w:t>The funds will be paid to Gotherington Parish Council on pr</w:t>
      </w:r>
      <w:r>
        <w:rPr>
          <w:rFonts w:cs="Arial"/>
          <w:szCs w:val="22"/>
        </w:rPr>
        <w:t>oduction of the invoice from your</w:t>
      </w:r>
      <w:r w:rsidR="00554733">
        <w:rPr>
          <w:rFonts w:cs="Arial"/>
          <w:szCs w:val="22"/>
        </w:rPr>
        <w:t xml:space="preserve"> contractor as evidence of completed works. At the same time please provide an invoice from Gotherington Parish Council to the Borough Council for the sum of money outstanding.</w:t>
      </w:r>
    </w:p>
    <w:p w14:paraId="51437343" w14:textId="77777777" w:rsidR="00554733" w:rsidRDefault="00554733" w:rsidP="00554733">
      <w:pPr>
        <w:jc w:val="both"/>
        <w:rPr>
          <w:rFonts w:cs="Arial"/>
          <w:szCs w:val="22"/>
        </w:rPr>
      </w:pPr>
    </w:p>
    <w:p w14:paraId="23A9C0E9" w14:textId="77777777" w:rsidR="00EB7433" w:rsidRDefault="00554733" w:rsidP="005F7642">
      <w:pPr>
        <w:jc w:val="both"/>
        <w:rPr>
          <w:rFonts w:cs="Arial"/>
          <w:szCs w:val="22"/>
        </w:rPr>
      </w:pPr>
      <w:r>
        <w:rPr>
          <w:rFonts w:cs="Arial"/>
          <w:szCs w:val="22"/>
        </w:rPr>
        <w:t>Regarding the Persimmon contribution, t</w:t>
      </w:r>
      <w:r w:rsidR="00E4491B">
        <w:rPr>
          <w:rFonts w:cs="Arial"/>
          <w:szCs w:val="22"/>
        </w:rPr>
        <w:t>here were a number of reasons why fund</w:t>
      </w:r>
      <w:r>
        <w:rPr>
          <w:rFonts w:cs="Arial"/>
          <w:szCs w:val="22"/>
        </w:rPr>
        <w:t>s could not be allocated</w:t>
      </w:r>
      <w:r w:rsidR="00940B94">
        <w:rPr>
          <w:rFonts w:cs="Arial"/>
          <w:szCs w:val="22"/>
        </w:rPr>
        <w:t xml:space="preserve">, notably due to the uncertainty over how </w:t>
      </w:r>
      <w:r>
        <w:rPr>
          <w:rFonts w:cs="Arial"/>
          <w:szCs w:val="22"/>
        </w:rPr>
        <w:t>elements of the</w:t>
      </w:r>
      <w:r w:rsidR="00940B94">
        <w:rPr>
          <w:rFonts w:cs="Arial"/>
          <w:szCs w:val="22"/>
        </w:rPr>
        <w:t xml:space="preserve"> contribution would be spent. In addition, it was fel</w:t>
      </w:r>
      <w:r w:rsidR="000947BD">
        <w:rPr>
          <w:rFonts w:cs="Arial"/>
          <w:szCs w:val="22"/>
        </w:rPr>
        <w:t>t that the Old Chapel</w:t>
      </w:r>
      <w:r w:rsidR="00940B94">
        <w:rPr>
          <w:rFonts w:cs="Arial"/>
          <w:szCs w:val="22"/>
        </w:rPr>
        <w:t xml:space="preserve"> expression of interest provided added value for the community</w:t>
      </w:r>
      <w:r>
        <w:rPr>
          <w:rFonts w:cs="Arial"/>
          <w:szCs w:val="22"/>
        </w:rPr>
        <w:t xml:space="preserve"> at this time</w:t>
      </w:r>
      <w:r w:rsidR="00940B94">
        <w:rPr>
          <w:rFonts w:cs="Arial"/>
          <w:szCs w:val="22"/>
        </w:rPr>
        <w:t>.</w:t>
      </w:r>
    </w:p>
    <w:p w14:paraId="425A6FE1" w14:textId="77777777" w:rsidR="00EB7433" w:rsidRDefault="00EB7433" w:rsidP="005F7642">
      <w:pPr>
        <w:jc w:val="both"/>
        <w:rPr>
          <w:rFonts w:cs="Arial"/>
          <w:szCs w:val="22"/>
        </w:rPr>
      </w:pPr>
    </w:p>
    <w:p w14:paraId="2282DE49" w14:textId="77777777" w:rsidR="00E4491B" w:rsidRPr="00940B94" w:rsidRDefault="00940B94" w:rsidP="00940B94">
      <w:pPr>
        <w:jc w:val="both"/>
        <w:rPr>
          <w:rFonts w:cs="Arial"/>
          <w:szCs w:val="22"/>
        </w:rPr>
      </w:pPr>
      <w:r>
        <w:rPr>
          <w:rFonts w:cs="Arial"/>
          <w:szCs w:val="22"/>
        </w:rPr>
        <w:t>If you wo</w:t>
      </w:r>
      <w:r w:rsidR="00554733">
        <w:rPr>
          <w:rFonts w:cs="Arial"/>
          <w:szCs w:val="22"/>
        </w:rPr>
        <w:t>u</w:t>
      </w:r>
      <w:r>
        <w:rPr>
          <w:rFonts w:cs="Arial"/>
          <w:szCs w:val="22"/>
        </w:rPr>
        <w:t>ld like further assistance</w:t>
      </w:r>
      <w:r w:rsidR="00554733">
        <w:rPr>
          <w:rFonts w:cs="Arial"/>
          <w:szCs w:val="22"/>
        </w:rPr>
        <w:t xml:space="preserve">, </w:t>
      </w:r>
      <w:r>
        <w:rPr>
          <w:rFonts w:cs="Arial"/>
          <w:szCs w:val="22"/>
        </w:rPr>
        <w:t>please do approach</w:t>
      </w:r>
      <w:r w:rsidR="00E4491B" w:rsidRPr="00940B94">
        <w:rPr>
          <w:rFonts w:cs="Arial"/>
          <w:szCs w:val="22"/>
        </w:rPr>
        <w:t xml:space="preserve"> the council’s Community Funding Officer, Martha Mundy </w:t>
      </w:r>
      <w:hyperlink r:id="rId8" w:history="1">
        <w:r w:rsidR="00E4491B" w:rsidRPr="00940B94">
          <w:rPr>
            <w:rStyle w:val="Hyperlink"/>
            <w:rFonts w:cs="Arial"/>
            <w:szCs w:val="22"/>
          </w:rPr>
          <w:t>Martha.mundy@tewkesbury.gov.uk</w:t>
        </w:r>
      </w:hyperlink>
      <w:r w:rsidR="00E4491B" w:rsidRPr="00940B94">
        <w:rPr>
          <w:rFonts w:cs="Arial"/>
          <w:szCs w:val="22"/>
        </w:rPr>
        <w:t xml:space="preserve"> to </w:t>
      </w:r>
      <w:r w:rsidR="00C0654D" w:rsidRPr="00940B94">
        <w:rPr>
          <w:rFonts w:cs="Arial"/>
          <w:szCs w:val="22"/>
        </w:rPr>
        <w:t>investigate</w:t>
      </w:r>
      <w:r>
        <w:rPr>
          <w:rFonts w:cs="Arial"/>
          <w:szCs w:val="22"/>
        </w:rPr>
        <w:t xml:space="preserve"> other opportunities for</w:t>
      </w:r>
      <w:r w:rsidR="00E4491B" w:rsidRPr="00940B94">
        <w:rPr>
          <w:rFonts w:cs="Arial"/>
          <w:szCs w:val="22"/>
        </w:rPr>
        <w:t xml:space="preserve"> funding</w:t>
      </w:r>
    </w:p>
    <w:p w14:paraId="11965E4E" w14:textId="77777777" w:rsidR="004B36A2" w:rsidRDefault="004B36A2" w:rsidP="005F7642">
      <w:pPr>
        <w:jc w:val="both"/>
        <w:rPr>
          <w:rFonts w:cs="Arial"/>
          <w:szCs w:val="22"/>
        </w:rPr>
      </w:pPr>
    </w:p>
    <w:p w14:paraId="50AC8A43" w14:textId="77777777" w:rsidR="005F7642" w:rsidRDefault="005F7642" w:rsidP="005F7642">
      <w:pPr>
        <w:tabs>
          <w:tab w:val="left" w:pos="5040"/>
          <w:tab w:val="left" w:pos="6480"/>
        </w:tabs>
        <w:rPr>
          <w:rFonts w:cs="Arial"/>
          <w:szCs w:val="22"/>
        </w:rPr>
      </w:pPr>
    </w:p>
    <w:p w14:paraId="06410176" w14:textId="77777777" w:rsidR="005F7642" w:rsidRDefault="005F7642" w:rsidP="005F7642">
      <w:pPr>
        <w:tabs>
          <w:tab w:val="left" w:pos="5040"/>
          <w:tab w:val="left" w:pos="6480"/>
        </w:tabs>
        <w:rPr>
          <w:rFonts w:cs="Arial"/>
          <w:szCs w:val="22"/>
        </w:rPr>
      </w:pPr>
      <w:r>
        <w:rPr>
          <w:rFonts w:cs="Arial"/>
          <w:szCs w:val="22"/>
        </w:rPr>
        <w:t>Yours sincerely</w:t>
      </w:r>
    </w:p>
    <w:p w14:paraId="06E1CC89" w14:textId="77777777" w:rsidR="005F7642" w:rsidRDefault="005F7642" w:rsidP="005F7642">
      <w:pPr>
        <w:tabs>
          <w:tab w:val="left" w:pos="5040"/>
          <w:tab w:val="left" w:pos="6480"/>
        </w:tabs>
        <w:rPr>
          <w:rFonts w:cs="Arial"/>
          <w:szCs w:val="22"/>
        </w:rPr>
      </w:pPr>
    </w:p>
    <w:p w14:paraId="1F704DE2" w14:textId="77777777" w:rsidR="005F7642" w:rsidRDefault="004B36A2" w:rsidP="005F7642">
      <w:pPr>
        <w:tabs>
          <w:tab w:val="left" w:pos="5040"/>
          <w:tab w:val="left" w:pos="6480"/>
        </w:tabs>
        <w:rPr>
          <w:rFonts w:cs="Arial"/>
          <w:szCs w:val="22"/>
        </w:rPr>
      </w:pPr>
      <w:r>
        <w:rPr>
          <w:noProof/>
          <w:lang w:eastAsia="en-GB"/>
        </w:rPr>
        <w:drawing>
          <wp:inline distT="0" distB="0" distL="0" distR="0" wp14:anchorId="1A7F1148" wp14:editId="17C6BDE4">
            <wp:extent cx="1597025" cy="395605"/>
            <wp:effectExtent l="0" t="0" r="3175" b="4445"/>
            <wp:docPr id="4" name="Picture 4" descr="cid:image001.jpg@01D47778.98F8F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7778.98F8F3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97025" cy="395605"/>
                    </a:xfrm>
                    <a:prstGeom prst="rect">
                      <a:avLst/>
                    </a:prstGeom>
                    <a:noFill/>
                    <a:ln>
                      <a:noFill/>
                    </a:ln>
                  </pic:spPr>
                </pic:pic>
              </a:graphicData>
            </a:graphic>
          </wp:inline>
        </w:drawing>
      </w:r>
    </w:p>
    <w:p w14:paraId="32688DBA" w14:textId="77777777" w:rsidR="005F7642" w:rsidRDefault="005F7642" w:rsidP="005F7642">
      <w:pPr>
        <w:tabs>
          <w:tab w:val="left" w:pos="5040"/>
          <w:tab w:val="left" w:pos="6480"/>
        </w:tabs>
        <w:rPr>
          <w:rFonts w:cs="Arial"/>
          <w:szCs w:val="22"/>
        </w:rPr>
      </w:pPr>
    </w:p>
    <w:p w14:paraId="7011DC01" w14:textId="77777777" w:rsidR="005F7642" w:rsidRDefault="000B697A" w:rsidP="005F7642">
      <w:pPr>
        <w:tabs>
          <w:tab w:val="left" w:pos="5040"/>
          <w:tab w:val="left" w:pos="6480"/>
        </w:tabs>
        <w:rPr>
          <w:rFonts w:cs="Arial"/>
          <w:szCs w:val="22"/>
        </w:rPr>
      </w:pPr>
      <w:r>
        <w:rPr>
          <w:rFonts w:cs="Arial"/>
          <w:szCs w:val="22"/>
        </w:rPr>
        <w:t>Annette Roberts</w:t>
      </w:r>
    </w:p>
    <w:p w14:paraId="7831FE7B" w14:textId="77777777" w:rsidR="005F7642" w:rsidRDefault="000B697A" w:rsidP="005F7642">
      <w:pPr>
        <w:tabs>
          <w:tab w:val="left" w:pos="5040"/>
          <w:tab w:val="left" w:pos="6480"/>
        </w:tabs>
        <w:rPr>
          <w:rFonts w:ascii="Times New Roman" w:hAnsi="Times New Roman"/>
          <w:sz w:val="24"/>
        </w:rPr>
      </w:pPr>
      <w:r>
        <w:rPr>
          <w:rFonts w:cs="Arial"/>
          <w:szCs w:val="22"/>
        </w:rPr>
        <w:t>Head of Development Services</w:t>
      </w:r>
    </w:p>
    <w:p w14:paraId="30FCB915" w14:textId="77777777" w:rsidR="00B949D0" w:rsidRDefault="00B949D0" w:rsidP="00B949D0">
      <w:pPr>
        <w:tabs>
          <w:tab w:val="left" w:pos="3798"/>
          <w:tab w:val="left" w:pos="5529"/>
        </w:tabs>
        <w:rPr>
          <w:rFonts w:cs="Arial"/>
          <w:b/>
          <w:bCs/>
          <w:szCs w:val="22"/>
        </w:rPr>
      </w:pPr>
    </w:p>
    <w:sectPr w:rsidR="00B949D0" w:rsidSect="0085463B">
      <w:footerReference w:type="default" r:id="rId11"/>
      <w:pgSz w:w="11906" w:h="16838" w:code="9"/>
      <w:pgMar w:top="680" w:right="992" w:bottom="425"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BD36" w14:textId="77777777" w:rsidR="00A83C42" w:rsidRDefault="00A83C42">
      <w:r>
        <w:separator/>
      </w:r>
    </w:p>
  </w:endnote>
  <w:endnote w:type="continuationSeparator" w:id="0">
    <w:p w14:paraId="7CEF8640" w14:textId="77777777" w:rsidR="00A83C42" w:rsidRDefault="00A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6C2A" w14:textId="77777777" w:rsidR="004C56BF" w:rsidRDefault="004C56BF" w:rsidP="00E21175">
    <w:pPr>
      <w:pStyle w:val="Footer"/>
      <w:jc w:val="right"/>
    </w:pPr>
    <w:r>
      <w:rPr>
        <w:noProof/>
        <w:lang w:eastAsia="en-GB"/>
      </w:rPr>
      <w:drawing>
        <wp:anchor distT="0" distB="0" distL="114300" distR="114300" simplePos="0" relativeHeight="251659264" behindDoc="0" locked="0" layoutInCell="1" allowOverlap="1" wp14:anchorId="49E66195" wp14:editId="263A7370">
          <wp:simplePos x="0" y="0"/>
          <wp:positionH relativeFrom="column">
            <wp:posOffset>6007100</wp:posOffset>
          </wp:positionH>
          <wp:positionV relativeFrom="paragraph">
            <wp:posOffset>-219710</wp:posOffset>
          </wp:positionV>
          <wp:extent cx="477520" cy="390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390525"/>
                  </a:xfrm>
                  <a:prstGeom prst="rect">
                    <a:avLst/>
                  </a:prstGeom>
                  <a:noFill/>
                </pic:spPr>
              </pic:pic>
            </a:graphicData>
          </a:graphic>
          <wp14:sizeRelH relativeFrom="page">
            <wp14:pctWidth>0</wp14:pctWidth>
          </wp14:sizeRelH>
          <wp14:sizeRelV relativeFrom="page">
            <wp14:pctHeight>0</wp14:pctHeight>
          </wp14:sizeRelV>
        </wp:anchor>
      </w:drawing>
    </w:r>
  </w:p>
  <w:p w14:paraId="30743F3B" w14:textId="77777777" w:rsidR="004C56BF" w:rsidRPr="00E4786C" w:rsidRDefault="004C56BF" w:rsidP="00E21175">
    <w:pPr>
      <w:pStyle w:val="Footer"/>
      <w:jc w:val="right"/>
      <w:rPr>
        <w:sz w:val="4"/>
        <w:szCs w:val="4"/>
      </w:rPr>
    </w:pPr>
  </w:p>
  <w:tbl>
    <w:tblPr>
      <w:tblW w:w="10890" w:type="dxa"/>
      <w:tblInd w:w="-552" w:type="dxa"/>
      <w:tblBorders>
        <w:top w:val="single" w:sz="4" w:space="0" w:color="auto"/>
        <w:insideH w:val="single" w:sz="4" w:space="0" w:color="auto"/>
        <w:insideV w:val="single" w:sz="4" w:space="0" w:color="auto"/>
      </w:tblBorders>
      <w:tblLook w:val="01E0" w:firstRow="1" w:lastRow="1" w:firstColumn="1" w:lastColumn="1" w:noHBand="0" w:noVBand="0"/>
    </w:tblPr>
    <w:tblGrid>
      <w:gridCol w:w="10890"/>
    </w:tblGrid>
    <w:tr w:rsidR="004C56BF" w14:paraId="152C0D84" w14:textId="77777777" w:rsidTr="00292E56">
      <w:tc>
        <w:tcPr>
          <w:tcW w:w="10890" w:type="dxa"/>
        </w:tcPr>
        <w:p w14:paraId="76AA8835" w14:textId="77777777" w:rsidR="004C56BF" w:rsidRPr="00292E56" w:rsidRDefault="004C56BF" w:rsidP="00E21175">
          <w:pPr>
            <w:pStyle w:val="Footer"/>
            <w:rPr>
              <w:sz w:val="6"/>
              <w:szCs w:val="6"/>
            </w:rPr>
          </w:pPr>
        </w:p>
        <w:p w14:paraId="073847ED" w14:textId="77777777" w:rsidR="004C56BF" w:rsidRPr="00292E56" w:rsidRDefault="004C56BF" w:rsidP="00E21175">
          <w:pPr>
            <w:pStyle w:val="Footer"/>
            <w:rPr>
              <w:sz w:val="20"/>
              <w:szCs w:val="20"/>
            </w:rPr>
          </w:pPr>
          <w:r w:rsidRPr="00292E56">
            <w:rPr>
              <w:sz w:val="20"/>
              <w:szCs w:val="20"/>
            </w:rPr>
            <w:t>Gloucester Road   Tewkesbury   Gloucestershire   GL20 5TT    Tel 01684 295010    DX11406    www.tewkesbury.gov.uk</w:t>
          </w:r>
        </w:p>
      </w:tc>
    </w:tr>
  </w:tbl>
  <w:p w14:paraId="560F4031" w14:textId="77777777" w:rsidR="004C56BF" w:rsidRDefault="004C56BF" w:rsidP="00E211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117D" w14:textId="77777777" w:rsidR="00A83C42" w:rsidRDefault="00A83C42">
      <w:r>
        <w:separator/>
      </w:r>
    </w:p>
  </w:footnote>
  <w:footnote w:type="continuationSeparator" w:id="0">
    <w:p w14:paraId="636A560B" w14:textId="77777777" w:rsidR="00A83C42" w:rsidRDefault="00A8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164A"/>
    <w:multiLevelType w:val="hybridMultilevel"/>
    <w:tmpl w:val="174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547B4"/>
    <w:multiLevelType w:val="hybridMultilevel"/>
    <w:tmpl w:val="32B8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E14D6"/>
    <w:multiLevelType w:val="hybridMultilevel"/>
    <w:tmpl w:val="14B4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75"/>
    <w:rsid w:val="00013DED"/>
    <w:rsid w:val="00020650"/>
    <w:rsid w:val="000947BD"/>
    <w:rsid w:val="000B697A"/>
    <w:rsid w:val="000D1B39"/>
    <w:rsid w:val="000D64B8"/>
    <w:rsid w:val="000E10EF"/>
    <w:rsid w:val="001077F5"/>
    <w:rsid w:val="00131D13"/>
    <w:rsid w:val="00151E53"/>
    <w:rsid w:val="00167ED0"/>
    <w:rsid w:val="001C1FC9"/>
    <w:rsid w:val="002134AE"/>
    <w:rsid w:val="00226684"/>
    <w:rsid w:val="002461A4"/>
    <w:rsid w:val="002649B8"/>
    <w:rsid w:val="00292E56"/>
    <w:rsid w:val="002930D8"/>
    <w:rsid w:val="002A1819"/>
    <w:rsid w:val="002B4016"/>
    <w:rsid w:val="002C5F04"/>
    <w:rsid w:val="00314C24"/>
    <w:rsid w:val="00342430"/>
    <w:rsid w:val="00342666"/>
    <w:rsid w:val="00374078"/>
    <w:rsid w:val="003A7271"/>
    <w:rsid w:val="004B36A2"/>
    <w:rsid w:val="004C56BF"/>
    <w:rsid w:val="004F36EC"/>
    <w:rsid w:val="00524720"/>
    <w:rsid w:val="0052528D"/>
    <w:rsid w:val="00554733"/>
    <w:rsid w:val="00566E4B"/>
    <w:rsid w:val="005706E4"/>
    <w:rsid w:val="005F7642"/>
    <w:rsid w:val="00651E98"/>
    <w:rsid w:val="006F457D"/>
    <w:rsid w:val="00723680"/>
    <w:rsid w:val="00727A40"/>
    <w:rsid w:val="00752364"/>
    <w:rsid w:val="00761F07"/>
    <w:rsid w:val="0078503D"/>
    <w:rsid w:val="0078507F"/>
    <w:rsid w:val="007922F5"/>
    <w:rsid w:val="00793456"/>
    <w:rsid w:val="007A0EC7"/>
    <w:rsid w:val="007F4C6A"/>
    <w:rsid w:val="00835082"/>
    <w:rsid w:val="0085463B"/>
    <w:rsid w:val="00856F23"/>
    <w:rsid w:val="008A71A3"/>
    <w:rsid w:val="008C585B"/>
    <w:rsid w:val="00901188"/>
    <w:rsid w:val="00931052"/>
    <w:rsid w:val="00940B94"/>
    <w:rsid w:val="009501E4"/>
    <w:rsid w:val="009A5B8F"/>
    <w:rsid w:val="009D114C"/>
    <w:rsid w:val="009D3AA0"/>
    <w:rsid w:val="009E7C76"/>
    <w:rsid w:val="00A00CBE"/>
    <w:rsid w:val="00A1300C"/>
    <w:rsid w:val="00A24169"/>
    <w:rsid w:val="00A5220D"/>
    <w:rsid w:val="00A65EFD"/>
    <w:rsid w:val="00A83C42"/>
    <w:rsid w:val="00A9093B"/>
    <w:rsid w:val="00A97907"/>
    <w:rsid w:val="00AB111A"/>
    <w:rsid w:val="00AB6A6F"/>
    <w:rsid w:val="00AC5E0E"/>
    <w:rsid w:val="00AD715B"/>
    <w:rsid w:val="00AE0849"/>
    <w:rsid w:val="00B54C38"/>
    <w:rsid w:val="00B947B0"/>
    <w:rsid w:val="00B949D0"/>
    <w:rsid w:val="00BB05B1"/>
    <w:rsid w:val="00BE5815"/>
    <w:rsid w:val="00C006B8"/>
    <w:rsid w:val="00C0654D"/>
    <w:rsid w:val="00C835FE"/>
    <w:rsid w:val="00C90DED"/>
    <w:rsid w:val="00C94321"/>
    <w:rsid w:val="00CB0051"/>
    <w:rsid w:val="00CB7E7F"/>
    <w:rsid w:val="00CC6F7A"/>
    <w:rsid w:val="00D83CF4"/>
    <w:rsid w:val="00DB2C02"/>
    <w:rsid w:val="00DC1657"/>
    <w:rsid w:val="00DE7DDB"/>
    <w:rsid w:val="00E21175"/>
    <w:rsid w:val="00E4491B"/>
    <w:rsid w:val="00E4786C"/>
    <w:rsid w:val="00E67092"/>
    <w:rsid w:val="00EA5BB0"/>
    <w:rsid w:val="00EB7433"/>
    <w:rsid w:val="00EC1F93"/>
    <w:rsid w:val="00F323EE"/>
    <w:rsid w:val="00F4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85F3D"/>
  <w14:defaultImageDpi w14:val="0"/>
  <w15:docId w15:val="{C099A6DF-845C-4DD4-9F69-6BB39785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1175"/>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E21175"/>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Hyperlink">
    <w:name w:val="Hyperlink"/>
    <w:basedOn w:val="DefaultParagraphFont"/>
    <w:uiPriority w:val="99"/>
    <w:rsid w:val="00793456"/>
    <w:rPr>
      <w:rFonts w:cs="Times New Roman"/>
      <w:color w:val="0000FF"/>
      <w:u w:val="single"/>
    </w:rPr>
  </w:style>
  <w:style w:type="paragraph" w:styleId="NormalWeb">
    <w:name w:val="Normal (Web)"/>
    <w:basedOn w:val="Normal"/>
    <w:uiPriority w:val="99"/>
    <w:rsid w:val="00793456"/>
    <w:pPr>
      <w:spacing w:before="240" w:after="240" w:line="360" w:lineRule="atLeast"/>
    </w:pPr>
    <w:rPr>
      <w:rFonts w:ascii="Times New Roman" w:hAnsi="Times New Roman"/>
      <w:sz w:val="24"/>
      <w:lang w:eastAsia="en-GB"/>
    </w:rPr>
  </w:style>
  <w:style w:type="paragraph" w:customStyle="1" w:styleId="body">
    <w:name w:val="body"/>
    <w:basedOn w:val="Normal"/>
    <w:rsid w:val="004F36EC"/>
    <w:pPr>
      <w:spacing w:before="100" w:beforeAutospacing="1" w:after="100" w:afterAutospacing="1"/>
    </w:pPr>
    <w:rPr>
      <w:rFonts w:ascii="Times New Roman" w:hAnsi="Times New Roman"/>
      <w:sz w:val="24"/>
      <w:lang w:eastAsia="en-GB"/>
    </w:rPr>
  </w:style>
  <w:style w:type="character" w:customStyle="1" w:styleId="highlight">
    <w:name w:val="highlight"/>
    <w:rsid w:val="004F36EC"/>
  </w:style>
  <w:style w:type="paragraph" w:styleId="ListParagraph">
    <w:name w:val="List Paragraph"/>
    <w:basedOn w:val="Normal"/>
    <w:uiPriority w:val="34"/>
    <w:qFormat/>
    <w:rsid w:val="00E4491B"/>
    <w:pPr>
      <w:ind w:left="720"/>
      <w:contextualSpacing/>
    </w:pPr>
  </w:style>
  <w:style w:type="paragraph" w:styleId="BalloonText">
    <w:name w:val="Balloon Text"/>
    <w:basedOn w:val="Normal"/>
    <w:link w:val="BalloonTextChar"/>
    <w:semiHidden/>
    <w:unhideWhenUsed/>
    <w:rsid w:val="000947BD"/>
    <w:rPr>
      <w:rFonts w:ascii="Segoe UI" w:hAnsi="Segoe UI" w:cs="Segoe UI"/>
      <w:sz w:val="18"/>
      <w:szCs w:val="18"/>
    </w:rPr>
  </w:style>
  <w:style w:type="character" w:customStyle="1" w:styleId="BalloonTextChar">
    <w:name w:val="Balloon Text Char"/>
    <w:basedOn w:val="DefaultParagraphFont"/>
    <w:link w:val="BalloonText"/>
    <w:semiHidden/>
    <w:rsid w:val="000947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66046">
      <w:marLeft w:val="0"/>
      <w:marRight w:val="0"/>
      <w:marTop w:val="137"/>
      <w:marBottom w:val="0"/>
      <w:divBdr>
        <w:top w:val="none" w:sz="0" w:space="0" w:color="auto"/>
        <w:left w:val="none" w:sz="0" w:space="0" w:color="auto"/>
        <w:bottom w:val="none" w:sz="0" w:space="0" w:color="auto"/>
        <w:right w:val="none" w:sz="0" w:space="0" w:color="auto"/>
      </w:divBdr>
      <w:divsChild>
        <w:div w:id="790366039">
          <w:marLeft w:val="0"/>
          <w:marRight w:val="0"/>
          <w:marTop w:val="0"/>
          <w:marBottom w:val="0"/>
          <w:divBdr>
            <w:top w:val="none" w:sz="0" w:space="0" w:color="auto"/>
            <w:left w:val="none" w:sz="0" w:space="0" w:color="auto"/>
            <w:bottom w:val="none" w:sz="0" w:space="0" w:color="auto"/>
            <w:right w:val="none" w:sz="0" w:space="0" w:color="auto"/>
          </w:divBdr>
          <w:divsChild>
            <w:div w:id="790366043">
              <w:marLeft w:val="0"/>
              <w:marRight w:val="0"/>
              <w:marTop w:val="137"/>
              <w:marBottom w:val="137"/>
              <w:divBdr>
                <w:top w:val="none" w:sz="0" w:space="0" w:color="auto"/>
                <w:left w:val="none" w:sz="0" w:space="0" w:color="auto"/>
                <w:bottom w:val="none" w:sz="0" w:space="0" w:color="auto"/>
                <w:right w:val="none" w:sz="0" w:space="0" w:color="auto"/>
              </w:divBdr>
              <w:divsChild>
                <w:div w:id="790366041">
                  <w:marLeft w:val="0"/>
                  <w:marRight w:val="0"/>
                  <w:marTop w:val="0"/>
                  <w:marBottom w:val="0"/>
                  <w:divBdr>
                    <w:top w:val="none" w:sz="0" w:space="0" w:color="auto"/>
                    <w:left w:val="none" w:sz="0" w:space="0" w:color="auto"/>
                    <w:bottom w:val="none" w:sz="0" w:space="0" w:color="auto"/>
                    <w:right w:val="none" w:sz="0" w:space="0" w:color="auto"/>
                  </w:divBdr>
                  <w:divsChild>
                    <w:div w:id="790366044">
                      <w:marLeft w:val="0"/>
                      <w:marRight w:val="0"/>
                      <w:marTop w:val="182"/>
                      <w:marBottom w:val="0"/>
                      <w:divBdr>
                        <w:top w:val="none" w:sz="0" w:space="0" w:color="auto"/>
                        <w:left w:val="none" w:sz="0" w:space="0" w:color="auto"/>
                        <w:bottom w:val="none" w:sz="0" w:space="0" w:color="auto"/>
                        <w:right w:val="none" w:sz="0" w:space="0" w:color="auto"/>
                      </w:divBdr>
                      <w:divsChild>
                        <w:div w:id="790366042">
                          <w:marLeft w:val="-1823"/>
                          <w:marRight w:val="0"/>
                          <w:marTop w:val="0"/>
                          <w:marBottom w:val="0"/>
                          <w:divBdr>
                            <w:top w:val="none" w:sz="0" w:space="0" w:color="auto"/>
                            <w:left w:val="none" w:sz="0" w:space="0" w:color="auto"/>
                            <w:bottom w:val="none" w:sz="0" w:space="0" w:color="auto"/>
                            <w:right w:val="none" w:sz="0" w:space="0" w:color="auto"/>
                          </w:divBdr>
                          <w:divsChild>
                            <w:div w:id="790366040">
                              <w:marLeft w:val="0"/>
                              <w:marRight w:val="0"/>
                              <w:marTop w:val="0"/>
                              <w:marBottom w:val="0"/>
                              <w:divBdr>
                                <w:top w:val="none" w:sz="0" w:space="0" w:color="auto"/>
                                <w:left w:val="none" w:sz="0" w:space="0" w:color="auto"/>
                                <w:bottom w:val="none" w:sz="0" w:space="0" w:color="auto"/>
                                <w:right w:val="none" w:sz="0" w:space="0" w:color="auto"/>
                              </w:divBdr>
                              <w:divsChild>
                                <w:div w:id="790366038">
                                  <w:marLeft w:val="1959"/>
                                  <w:marRight w:val="146"/>
                                  <w:marTop w:val="0"/>
                                  <w:marBottom w:val="0"/>
                                  <w:divBdr>
                                    <w:top w:val="none" w:sz="0" w:space="0" w:color="auto"/>
                                    <w:left w:val="none" w:sz="0" w:space="0" w:color="auto"/>
                                    <w:bottom w:val="none" w:sz="0" w:space="0" w:color="auto"/>
                                    <w:right w:val="none" w:sz="0" w:space="0" w:color="auto"/>
                                  </w:divBdr>
                                  <w:divsChild>
                                    <w:div w:id="790366045">
                                      <w:marLeft w:val="0"/>
                                      <w:marRight w:val="0"/>
                                      <w:marTop w:val="0"/>
                                      <w:marBottom w:val="0"/>
                                      <w:divBdr>
                                        <w:top w:val="none" w:sz="0" w:space="0" w:color="auto"/>
                                        <w:left w:val="none" w:sz="0" w:space="0" w:color="auto"/>
                                        <w:bottom w:val="none" w:sz="0" w:space="0" w:color="auto"/>
                                        <w:right w:val="none" w:sz="0" w:space="0" w:color="auto"/>
                                      </w:divBdr>
                                    </w:div>
                                    <w:div w:id="7903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624861">
      <w:bodyDiv w:val="1"/>
      <w:marLeft w:val="0"/>
      <w:marRight w:val="0"/>
      <w:marTop w:val="0"/>
      <w:marBottom w:val="0"/>
      <w:divBdr>
        <w:top w:val="none" w:sz="0" w:space="0" w:color="auto"/>
        <w:left w:val="none" w:sz="0" w:space="0" w:color="auto"/>
        <w:bottom w:val="none" w:sz="0" w:space="0" w:color="auto"/>
        <w:right w:val="none" w:sz="0" w:space="0" w:color="auto"/>
      </w:divBdr>
    </w:div>
    <w:div w:id="21317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mundy@tewkesbur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D47778.98F8F3A0"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Borough Development</vt:lpstr>
    </vt:vector>
  </TitlesOfParts>
  <Company>Tewkesbury Borough Council</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Development</dc:title>
  <dc:creator>marrios</dc:creator>
  <cp:lastModifiedBy>Howard Samuels</cp:lastModifiedBy>
  <cp:revision>2</cp:revision>
  <cp:lastPrinted>2019-02-06T11:43:00Z</cp:lastPrinted>
  <dcterms:created xsi:type="dcterms:W3CDTF">2019-02-11T16:25:00Z</dcterms:created>
  <dcterms:modified xsi:type="dcterms:W3CDTF">2019-02-11T16:25:00Z</dcterms:modified>
</cp:coreProperties>
</file>